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6008" w14:textId="16D956DC" w:rsidR="0026000D" w:rsidRPr="000019AA" w:rsidRDefault="00613E51" w:rsidP="008A7E71">
      <w:pPr>
        <w:pStyle w:val="MainTitle"/>
        <w:rPr>
          <w:highlight w:val="yellow"/>
        </w:rPr>
      </w:pPr>
      <w:r w:rsidRPr="00613E51">
        <w:rPr>
          <w:noProof/>
        </w:rPr>
        <w:drawing>
          <wp:anchor distT="0" distB="0" distL="114300" distR="114300" simplePos="0" relativeHeight="251658240" behindDoc="0" locked="1" layoutInCell="1" allowOverlap="1" wp14:anchorId="2AFAD486" wp14:editId="73B7D3A5">
            <wp:simplePos x="0" y="0"/>
            <wp:positionH relativeFrom="margin">
              <wp:posOffset>5080000</wp:posOffset>
            </wp:positionH>
            <wp:positionV relativeFrom="margin">
              <wp:posOffset>6223000</wp:posOffset>
            </wp:positionV>
            <wp:extent cx="1645923" cy="1120142"/>
            <wp:effectExtent l="0" t="0" r="0" b="0"/>
            <wp:wrapNone/>
            <wp:docPr id="100037" name="Picture 100037"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8"/>
                    <a:stretch>
                      <a:fillRect/>
                    </a:stretch>
                  </pic:blipFill>
                  <pic:spPr>
                    <a:xfrm>
                      <a:off x="0" y="0"/>
                      <a:ext cx="1645923" cy="1120142"/>
                    </a:xfrm>
                    <a:prstGeom prst="rect">
                      <a:avLst/>
                    </a:prstGeom>
                  </pic:spPr>
                </pic:pic>
              </a:graphicData>
            </a:graphic>
          </wp:anchor>
        </w:drawing>
      </w:r>
      <w:r w:rsidR="00000000" w:rsidRPr="00613E51">
        <w:rPr>
          <w:noProof/>
        </w:rPr>
        <mc:AlternateContent>
          <mc:Choice Requires="wpg">
            <w:drawing>
              <wp:anchor distT="0" distB="0" distL="114300" distR="114300" simplePos="0" relativeHeight="251666432" behindDoc="1" locked="0" layoutInCell="1" allowOverlap="1" wp14:anchorId="6E3F5F45" wp14:editId="1036BD80">
                <wp:simplePos x="0" y="0"/>
                <wp:positionH relativeFrom="column">
                  <wp:posOffset>-447675</wp:posOffset>
                </wp:positionH>
                <wp:positionV relativeFrom="page">
                  <wp:posOffset>2505075</wp:posOffset>
                </wp:positionV>
                <wp:extent cx="7772400" cy="5086349"/>
                <wp:effectExtent l="0" t="0" r="0" b="635"/>
                <wp:wrapNone/>
                <wp:docPr id="7" name="Group 7"/>
                <wp:cNvGraphicFramePr/>
                <a:graphic xmlns:a="http://schemas.openxmlformats.org/drawingml/2006/main">
                  <a:graphicData uri="http://schemas.microsoft.com/office/word/2010/wordprocessingGroup">
                    <wpg:wgp>
                      <wpg:cNvGrpSpPr/>
                      <wpg:grpSpPr>
                        <a:xfrm>
                          <a:off x="0" y="0"/>
                          <a:ext cx="7772400" cy="5086349"/>
                          <a:chOff x="3878" y="0"/>
                          <a:chExt cx="7772398" cy="5086645"/>
                        </a:xfrm>
                      </wpg:grpSpPr>
                      <wpg:grpSp>
                        <wpg:cNvPr id="2" name="Group 2"/>
                        <wpg:cNvGrpSpPr/>
                        <wpg:grpSpPr>
                          <a:xfrm>
                            <a:off x="3878" y="0"/>
                            <a:ext cx="7772398" cy="962794"/>
                            <a:chOff x="3878" y="0"/>
                            <a:chExt cx="7772398" cy="962794"/>
                          </a:xfrm>
                        </wpg:grpSpPr>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878" y="327660"/>
                              <a:ext cx="7772398" cy="635134"/>
                            </a:xfrm>
                            <a:prstGeom prst="rect">
                              <a:avLst/>
                            </a:prstGeom>
                          </pic:spPr>
                        </pic:pic>
                        <wps:wsp>
                          <wps:cNvPr id="6" name="Text Box 2"/>
                          <wps:cNvSpPr txBox="1">
                            <a:spLocks noChangeArrowheads="1"/>
                          </wps:cNvSpPr>
                          <wps:spPr bwMode="auto">
                            <a:xfrm>
                              <a:off x="5021580" y="0"/>
                              <a:ext cx="2413000" cy="329565"/>
                            </a:xfrm>
                            <a:prstGeom prst="rect">
                              <a:avLst/>
                            </a:prstGeom>
                            <a:noFill/>
                            <a:ln w="9525">
                              <a:noFill/>
                              <a:miter lim="800000"/>
                              <a:headEnd/>
                              <a:tailEnd/>
                            </a:ln>
                          </wps:spPr>
                          <wps:txbx>
                            <w:txbxContent>
                              <w:p w14:paraId="2F9059B6" w14:textId="77777777" w:rsidR="00A95ADA" w:rsidRPr="00B27C10" w:rsidRDefault="00000000" w:rsidP="00036D4E">
                                <w:pPr>
                                  <w:pStyle w:val="SectionedHeader"/>
                                </w:pPr>
                                <w:r w:rsidRPr="006832C2">
                                  <w:t>Highlights</w:t>
                                </w:r>
                              </w:p>
                            </w:txbxContent>
                          </wps:txbx>
                          <wps:bodyPr rot="0" vert="horz" wrap="square" lIns="91440" tIns="45720" rIns="91440" bIns="45720" anchor="t" anchorCtr="0"/>
                        </wps:wsp>
                      </wpg:grpSp>
                      <wps:wsp>
                        <wps:cNvPr id="217" name="Text Box 2"/>
                        <wps:cNvSpPr txBox="1">
                          <a:spLocks noChangeArrowheads="1"/>
                        </wps:cNvSpPr>
                        <wps:spPr bwMode="auto">
                          <a:xfrm>
                            <a:off x="5022273" y="360217"/>
                            <a:ext cx="2413000" cy="4726428"/>
                          </a:xfrm>
                          <a:prstGeom prst="rect">
                            <a:avLst/>
                          </a:prstGeom>
                          <a:noFill/>
                          <a:ln w="9525">
                            <a:noFill/>
                            <a:miter lim="800000"/>
                            <a:headEnd/>
                            <a:tailEnd/>
                          </a:ln>
                        </wps:spPr>
                        <wps:txbx>
                          <w:txbxContent>
                            <w:p w14:paraId="3BBD8B75" w14:textId="77777777" w:rsidR="0016683E" w:rsidRDefault="00000000" w:rsidP="005812C0">
                              <w:pPr>
                                <w:pStyle w:val="BodyText"/>
                              </w:pPr>
                              <w:r>
                                <w:t xml:space="preserve">Some of </w:t>
                              </w:r>
                              <w:r w:rsidR="005812C0">
                                <w:t>the most significant employee leave law trends include:</w:t>
                              </w:r>
                            </w:p>
                            <w:p w14:paraId="719BD042" w14:textId="77777777" w:rsidR="005812C0" w:rsidRDefault="00000000" w:rsidP="00CD0B5C">
                              <w:pPr>
                                <w:pStyle w:val="BodyText"/>
                                <w:numPr>
                                  <w:ilvl w:val="0"/>
                                  <w:numId w:val="17"/>
                                </w:numPr>
                                <w:spacing w:after="0" w:line="240" w:lineRule="auto"/>
                              </w:pPr>
                              <w:r w:rsidRPr="007712C7">
                                <w:t xml:space="preserve">New </w:t>
                              </w:r>
                              <w:r w:rsidR="000C1D7E">
                                <w:t>s</w:t>
                              </w:r>
                              <w:r w:rsidRPr="007712C7">
                                <w:t>tate PSL and PFML</w:t>
                              </w:r>
                              <w:r w:rsidR="00C55135">
                                <w:t xml:space="preserve"> </w:t>
                              </w:r>
                              <w:r w:rsidR="000C1D7E">
                                <w:t>p</w:t>
                              </w:r>
                              <w:r w:rsidRPr="007712C7">
                                <w:t>rograms</w:t>
                              </w:r>
                              <w:r w:rsidR="0029513B">
                                <w:t>;</w:t>
                              </w:r>
                            </w:p>
                            <w:p w14:paraId="01915C22" w14:textId="77777777" w:rsidR="007712C7" w:rsidRDefault="00000000" w:rsidP="00CD0B5C">
                              <w:pPr>
                                <w:pStyle w:val="BodyText"/>
                                <w:numPr>
                                  <w:ilvl w:val="0"/>
                                  <w:numId w:val="17"/>
                                </w:numPr>
                                <w:spacing w:after="0" w:line="240" w:lineRule="auto"/>
                              </w:pPr>
                              <w:r w:rsidRPr="007712C7">
                                <w:t xml:space="preserve">Amendments to </w:t>
                              </w:r>
                              <w:r w:rsidR="000C1D7E">
                                <w:t>e</w:t>
                              </w:r>
                              <w:r w:rsidRPr="007712C7">
                                <w:t xml:space="preserve">xisting </w:t>
                              </w:r>
                              <w:r w:rsidR="000C1D7E">
                                <w:t>s</w:t>
                              </w:r>
                              <w:r w:rsidRPr="007712C7">
                                <w:t xml:space="preserve">tate PSL and PFML </w:t>
                              </w:r>
                              <w:r w:rsidR="000C1D7E">
                                <w:t>p</w:t>
                              </w:r>
                              <w:r w:rsidRPr="007712C7">
                                <w:t>rograms</w:t>
                              </w:r>
                              <w:r w:rsidR="0029513B">
                                <w:t>;</w:t>
                              </w:r>
                            </w:p>
                            <w:p w14:paraId="4088240C" w14:textId="77777777" w:rsidR="00C55135" w:rsidRDefault="00000000" w:rsidP="00CD0B5C">
                              <w:pPr>
                                <w:pStyle w:val="BodyText"/>
                                <w:numPr>
                                  <w:ilvl w:val="0"/>
                                  <w:numId w:val="17"/>
                                </w:numPr>
                                <w:spacing w:after="0" w:line="240" w:lineRule="auto"/>
                              </w:pPr>
                              <w:r w:rsidRPr="00C55135">
                                <w:t xml:space="preserve">State PSL </w:t>
                              </w:r>
                              <w:r w:rsidR="000C1D7E">
                                <w:t>b</w:t>
                              </w:r>
                              <w:r w:rsidRPr="00C55135">
                                <w:t xml:space="preserve">allot </w:t>
                              </w:r>
                              <w:r w:rsidR="000C1D7E">
                                <w:t>m</w:t>
                              </w:r>
                              <w:r w:rsidRPr="00C55135">
                                <w:t>easures</w:t>
                              </w:r>
                              <w:r w:rsidR="0029513B">
                                <w:t>;</w:t>
                              </w:r>
                            </w:p>
                            <w:p w14:paraId="41DBB3D5" w14:textId="77777777" w:rsidR="00C55135" w:rsidRDefault="00000000" w:rsidP="00C55135">
                              <w:pPr>
                                <w:pStyle w:val="BodyText"/>
                                <w:numPr>
                                  <w:ilvl w:val="0"/>
                                  <w:numId w:val="17"/>
                                </w:numPr>
                                <w:spacing w:after="0" w:line="240" w:lineRule="auto"/>
                              </w:pPr>
                              <w:r w:rsidRPr="00C55135">
                                <w:t xml:space="preserve">Expanded </w:t>
                              </w:r>
                              <w:r w:rsidR="000C1D7E">
                                <w:t>r</w:t>
                              </w:r>
                              <w:r w:rsidRPr="00C55135">
                                <w:t xml:space="preserve">easons for </w:t>
                              </w:r>
                              <w:r w:rsidR="000C1D7E">
                                <w:t>l</w:t>
                              </w:r>
                              <w:r w:rsidRPr="00C55135">
                                <w:t>eave</w:t>
                              </w:r>
                              <w:r w:rsidR="0029513B">
                                <w:t>;</w:t>
                              </w:r>
                            </w:p>
                            <w:p w14:paraId="248EBEA8" w14:textId="77777777" w:rsidR="00C55135" w:rsidRDefault="00000000" w:rsidP="00C55135">
                              <w:pPr>
                                <w:pStyle w:val="BodyText"/>
                                <w:numPr>
                                  <w:ilvl w:val="0"/>
                                  <w:numId w:val="17"/>
                                </w:numPr>
                                <w:spacing w:after="0" w:line="240" w:lineRule="auto"/>
                              </w:pPr>
                              <w:r w:rsidRPr="00C55135">
                                <w:t xml:space="preserve">Expanded </w:t>
                              </w:r>
                              <w:r w:rsidR="000C1D7E">
                                <w:t>d</w:t>
                              </w:r>
                              <w:r w:rsidRPr="00C55135">
                                <w:t>efinitions of “</w:t>
                              </w:r>
                              <w:r w:rsidR="000C1D7E">
                                <w:t>f</w:t>
                              </w:r>
                              <w:r w:rsidRPr="00C55135">
                                <w:t xml:space="preserve">amily </w:t>
                              </w:r>
                              <w:r w:rsidR="000C1D7E">
                                <w:t>m</w:t>
                              </w:r>
                              <w:r w:rsidRPr="00C55135">
                                <w:t>ember”</w:t>
                              </w:r>
                              <w:r w:rsidR="0029513B">
                                <w:t>;</w:t>
                              </w:r>
                            </w:p>
                            <w:p w14:paraId="1335096D" w14:textId="77777777" w:rsidR="00C55135" w:rsidRDefault="00000000" w:rsidP="00C55135">
                              <w:pPr>
                                <w:pStyle w:val="BodyText"/>
                                <w:numPr>
                                  <w:ilvl w:val="0"/>
                                  <w:numId w:val="17"/>
                                </w:numPr>
                                <w:spacing w:after="0" w:line="240" w:lineRule="auto"/>
                              </w:pPr>
                              <w:r w:rsidRPr="00C55135">
                                <w:t xml:space="preserve">Redesigning of </w:t>
                              </w:r>
                              <w:r w:rsidR="000C1D7E">
                                <w:t>s</w:t>
                              </w:r>
                              <w:r w:rsidRPr="00C55135">
                                <w:t xml:space="preserve">tate PFML </w:t>
                              </w:r>
                              <w:r w:rsidR="000C1D7E">
                                <w:t>l</w:t>
                              </w:r>
                              <w:r w:rsidRPr="00C55135">
                                <w:t xml:space="preserve">aws to </w:t>
                              </w:r>
                              <w:r w:rsidR="000C1D7E">
                                <w:t>w</w:t>
                              </w:r>
                              <w:r w:rsidRPr="00C55135">
                                <w:t xml:space="preserve">ork with </w:t>
                              </w:r>
                              <w:r w:rsidR="00BD6708">
                                <w:t xml:space="preserve">the </w:t>
                              </w:r>
                              <w:r w:rsidRPr="00C55135">
                                <w:t>FMLA</w:t>
                              </w:r>
                              <w:r w:rsidR="00A15D9A">
                                <w:t>;</w:t>
                              </w:r>
                            </w:p>
                            <w:p w14:paraId="74B75EA1" w14:textId="77777777" w:rsidR="00C55135" w:rsidRDefault="00000000" w:rsidP="00C55135">
                              <w:pPr>
                                <w:pStyle w:val="BodyText"/>
                                <w:numPr>
                                  <w:ilvl w:val="0"/>
                                  <w:numId w:val="17"/>
                                </w:numPr>
                                <w:spacing w:after="0" w:line="240" w:lineRule="auto"/>
                              </w:pPr>
                              <w:r w:rsidRPr="00C55135">
                                <w:t xml:space="preserve">Voluntary </w:t>
                              </w:r>
                              <w:r w:rsidR="000C1D7E">
                                <w:t>p</w:t>
                              </w:r>
                              <w:r w:rsidRPr="00C55135">
                                <w:t xml:space="preserve">aid </w:t>
                              </w:r>
                              <w:r w:rsidR="000C1D7E">
                                <w:t>f</w:t>
                              </w:r>
                              <w:r w:rsidRPr="00C55135">
                                <w:t xml:space="preserve">amily </w:t>
                              </w:r>
                              <w:r w:rsidR="000C1D7E">
                                <w:t>l</w:t>
                              </w:r>
                              <w:r w:rsidRPr="00C55135">
                                <w:t xml:space="preserve">eave </w:t>
                              </w:r>
                              <w:r w:rsidR="000C1D7E">
                                <w:t>i</w:t>
                              </w:r>
                              <w:r w:rsidRPr="00C55135">
                                <w:t xml:space="preserve">nsurance </w:t>
                              </w:r>
                              <w:r w:rsidR="000C1D7E">
                                <w:t>p</w:t>
                              </w:r>
                              <w:r w:rsidRPr="00C55135">
                                <w:t>rograms</w:t>
                              </w:r>
                              <w:r w:rsidR="00A63514">
                                <w:t>; and</w:t>
                              </w:r>
                            </w:p>
                            <w:p w14:paraId="39B643FE" w14:textId="77777777" w:rsidR="00A63514" w:rsidRPr="007402E1" w:rsidRDefault="00000000" w:rsidP="00A63514">
                              <w:pPr>
                                <w:pStyle w:val="BodyText"/>
                                <w:numPr>
                                  <w:ilvl w:val="0"/>
                                  <w:numId w:val="17"/>
                                </w:numPr>
                                <w:spacing w:after="0" w:line="240" w:lineRule="auto"/>
                              </w:pPr>
                              <w:r w:rsidRPr="00A63514">
                                <w:t>Federal court</w:t>
                              </w:r>
                              <w:r>
                                <w:t>s’</w:t>
                              </w:r>
                              <w:r w:rsidRPr="00A63514">
                                <w:t xml:space="preserve"> increasingly ruling that USERRA requires employers to provide paid leave for military service if they compensate employees for comparable leaves.</w:t>
                              </w:r>
                            </w:p>
                            <w:p w14:paraId="205B4AB5" w14:textId="77777777" w:rsidR="0024208C" w:rsidRPr="00526C74" w:rsidRDefault="0024208C" w:rsidP="000B1014">
                              <w:pPr>
                                <w:pStyle w:val="Xbox"/>
                                <w:numPr>
                                  <w:ilvl w:val="0"/>
                                  <w:numId w:val="0"/>
                                </w:numPr>
                              </w:pPr>
                            </w:p>
                          </w:txbxContent>
                        </wps:txbx>
                        <wps:bodyPr rot="0" vert="horz" wrap="square" lIns="91440" tIns="45720" rIns="91440" bIns="45720" anchor="t" anchorCtr="0"/>
                      </wps:wsp>
                    </wpg:wgp>
                  </a:graphicData>
                </a:graphic>
                <wp14:sizeRelV relativeFrom="margin">
                  <wp14:pctHeight>0</wp14:pctHeight>
                </wp14:sizeRelV>
              </wp:anchor>
            </w:drawing>
          </mc:Choice>
          <mc:Fallback>
            <w:pict>
              <v:group id="Group 7" o:spid="_x0000_s1025" style="width:612pt;height:400.55pt;margin-top:197.25pt;margin-left:-35.25pt;mso-height-percent:0;mso-height-relative:margin;mso-position-vertical-relative:page;mso-wrap-distance-bottom:0;mso-wrap-distance-left:9pt;mso-wrap-distance-right:9pt;mso-wrap-distance-top:0;position:absolute;z-index:-251651072" coordorigin="10,0" coordsize="21600,21600">
                <v:group id="_x0000_s1026" style="width:21600;height:4088;left:11;position:absolute" coordorigin="1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21600;height:14249;left:11;position:absolute;top:7351">
                    <v:imagedata r:id="rId10" o:title=""/>
                  </v:shape>
                  <v:shapetype id="_x0000_t202" coordsize="21600,21600" o:spt="202" path="m,l,21600r21600,l21600,xe">
                    <v:stroke joinstyle="miter"/>
                    <v:path gradientshapeok="t" o:connecttype="rect"/>
                  </v:shapetype>
                  <v:shape id="_x0000_s1028" type="#_x0000_t202" style="width:6706;height:7394;left:13955;position:absolute;v-text-anchor:top" filled="f" fillcolor="this" stroked="f" strokeweight="0.75pt">
                    <v:textbox>
                      <w:txbxContent>
                        <w:p w:rsidR="00A95ADA" w:rsidRPr="00B27C10" w:rsidP="00036D4E" w14:paraId="1D6A6EF6" w14:textId="0CE29DE3">
                          <w:pPr>
                            <w:pStyle w:val="SectionedHeader"/>
                          </w:pPr>
                          <w:r w:rsidRPr="006832C2">
                            <w:t>Highlights</w:t>
                          </w:r>
                        </w:p>
                      </w:txbxContent>
                    </v:textbox>
                  </v:shape>
                </v:group>
                <v:shape id="_x0000_s1029" type="#_x0000_t202" style="width:6706;height:20070;left:13957;position:absolute;top:1530;v-text-anchor:top" filled="f" fillcolor="this" stroked="f" strokeweight="0.75pt">
                  <v:textbox>
                    <w:txbxContent>
                      <w:p w:rsidR="0016683E" w:rsidP="005812C0" w14:paraId="2235B245" w14:textId="4D76C971">
                        <w:pPr>
                          <w:pStyle w:val="BodyText"/>
                        </w:pPr>
                        <w:r>
                          <w:t xml:space="preserve">Some of </w:t>
                        </w:r>
                        <w:r w:rsidR="005812C0">
                          <w:t>the most significant employee leave law trends include:</w:t>
                        </w:r>
                      </w:p>
                      <w:p w:rsidR="005812C0" w:rsidP="00CD0B5C" w14:paraId="4356C0FE" w14:textId="49D034D3">
                        <w:pPr>
                          <w:pStyle w:val="BodyText"/>
                          <w:numPr>
                            <w:ilvl w:val="0"/>
                            <w:numId w:val="17"/>
                          </w:numPr>
                          <w:spacing w:after="0" w:line="240" w:lineRule="auto"/>
                        </w:pPr>
                        <w:r w:rsidRPr="007712C7">
                          <w:t xml:space="preserve">New </w:t>
                        </w:r>
                        <w:r w:rsidR="000C1D7E">
                          <w:t>s</w:t>
                        </w:r>
                        <w:r w:rsidRPr="007712C7">
                          <w:t>tate PSL and PFML</w:t>
                        </w:r>
                        <w:r w:rsidR="00C55135">
                          <w:t xml:space="preserve"> </w:t>
                        </w:r>
                        <w:r w:rsidR="000C1D7E">
                          <w:t>p</w:t>
                        </w:r>
                        <w:r w:rsidRPr="007712C7">
                          <w:t>rograms</w:t>
                        </w:r>
                        <w:r w:rsidR="0029513B">
                          <w:t>;</w:t>
                        </w:r>
                      </w:p>
                      <w:p w:rsidR="007712C7" w:rsidP="00CD0B5C" w14:paraId="51C86028" w14:textId="7B2D2BE4">
                        <w:pPr>
                          <w:pStyle w:val="BodyText"/>
                          <w:numPr>
                            <w:ilvl w:val="0"/>
                            <w:numId w:val="17"/>
                          </w:numPr>
                          <w:spacing w:after="0" w:line="240" w:lineRule="auto"/>
                        </w:pPr>
                        <w:r w:rsidRPr="007712C7">
                          <w:t xml:space="preserve">Amendments to </w:t>
                        </w:r>
                        <w:r w:rsidR="000C1D7E">
                          <w:t>e</w:t>
                        </w:r>
                        <w:r w:rsidRPr="007712C7">
                          <w:t xml:space="preserve">xisting </w:t>
                        </w:r>
                        <w:r w:rsidR="000C1D7E">
                          <w:t>s</w:t>
                        </w:r>
                        <w:r w:rsidRPr="007712C7">
                          <w:t xml:space="preserve">tate PSL and PFML </w:t>
                        </w:r>
                        <w:r w:rsidR="000C1D7E">
                          <w:t>p</w:t>
                        </w:r>
                        <w:r w:rsidRPr="007712C7">
                          <w:t>rograms</w:t>
                        </w:r>
                        <w:r w:rsidR="0029513B">
                          <w:t>;</w:t>
                        </w:r>
                      </w:p>
                      <w:p w:rsidR="00C55135" w:rsidP="00CD0B5C" w14:paraId="03EC1477" w14:textId="57C828DF">
                        <w:pPr>
                          <w:pStyle w:val="BodyText"/>
                          <w:numPr>
                            <w:ilvl w:val="0"/>
                            <w:numId w:val="17"/>
                          </w:numPr>
                          <w:spacing w:after="0" w:line="240" w:lineRule="auto"/>
                        </w:pPr>
                        <w:r w:rsidRPr="00C55135">
                          <w:t xml:space="preserve">State PSL </w:t>
                        </w:r>
                        <w:r w:rsidR="000C1D7E">
                          <w:t>b</w:t>
                        </w:r>
                        <w:r w:rsidRPr="00C55135">
                          <w:t xml:space="preserve">allot </w:t>
                        </w:r>
                        <w:r w:rsidR="000C1D7E">
                          <w:t>m</w:t>
                        </w:r>
                        <w:r w:rsidRPr="00C55135">
                          <w:t>easures</w:t>
                        </w:r>
                        <w:r w:rsidR="0029513B">
                          <w:t>;</w:t>
                        </w:r>
                      </w:p>
                      <w:p w:rsidR="00C55135" w:rsidP="00C55135" w14:paraId="08D6FD4D" w14:textId="4277A4FC">
                        <w:pPr>
                          <w:pStyle w:val="BodyText"/>
                          <w:numPr>
                            <w:ilvl w:val="0"/>
                            <w:numId w:val="17"/>
                          </w:numPr>
                          <w:spacing w:after="0" w:line="240" w:lineRule="auto"/>
                        </w:pPr>
                        <w:r w:rsidRPr="00C55135">
                          <w:t xml:space="preserve">Expanded </w:t>
                        </w:r>
                        <w:r w:rsidR="000C1D7E">
                          <w:t>r</w:t>
                        </w:r>
                        <w:r w:rsidRPr="00C55135">
                          <w:t xml:space="preserve">easons for </w:t>
                        </w:r>
                        <w:r w:rsidR="000C1D7E">
                          <w:t>l</w:t>
                        </w:r>
                        <w:r w:rsidRPr="00C55135">
                          <w:t>eave</w:t>
                        </w:r>
                        <w:r w:rsidR="0029513B">
                          <w:t>;</w:t>
                        </w:r>
                      </w:p>
                      <w:p w:rsidR="00C55135" w:rsidP="00C55135" w14:paraId="1BD58044" w14:textId="5A99CFF3">
                        <w:pPr>
                          <w:pStyle w:val="BodyText"/>
                          <w:numPr>
                            <w:ilvl w:val="0"/>
                            <w:numId w:val="17"/>
                          </w:numPr>
                          <w:spacing w:after="0" w:line="240" w:lineRule="auto"/>
                        </w:pPr>
                        <w:r w:rsidRPr="00C55135">
                          <w:t xml:space="preserve">Expanded </w:t>
                        </w:r>
                        <w:r w:rsidR="000C1D7E">
                          <w:t>d</w:t>
                        </w:r>
                        <w:r w:rsidRPr="00C55135">
                          <w:t>efinitions of “</w:t>
                        </w:r>
                        <w:r w:rsidR="000C1D7E">
                          <w:t>f</w:t>
                        </w:r>
                        <w:r w:rsidRPr="00C55135">
                          <w:t xml:space="preserve">amily </w:t>
                        </w:r>
                        <w:r w:rsidR="000C1D7E">
                          <w:t>m</w:t>
                        </w:r>
                        <w:r w:rsidRPr="00C55135">
                          <w:t>ember</w:t>
                        </w:r>
                        <w:r w:rsidRPr="00C55135">
                          <w:t>”</w:t>
                        </w:r>
                        <w:r w:rsidR="0029513B">
                          <w:t>;</w:t>
                        </w:r>
                      </w:p>
                      <w:p w:rsidR="00C55135" w:rsidP="00C55135" w14:paraId="76BFCF69" w14:textId="6F049A52">
                        <w:pPr>
                          <w:pStyle w:val="BodyText"/>
                          <w:numPr>
                            <w:ilvl w:val="0"/>
                            <w:numId w:val="17"/>
                          </w:numPr>
                          <w:spacing w:after="0" w:line="240" w:lineRule="auto"/>
                        </w:pPr>
                        <w:r w:rsidRPr="00C55135">
                          <w:t xml:space="preserve">Redesigning of </w:t>
                        </w:r>
                        <w:r w:rsidR="000C1D7E">
                          <w:t>s</w:t>
                        </w:r>
                        <w:r w:rsidRPr="00C55135">
                          <w:t xml:space="preserve">tate PFML </w:t>
                        </w:r>
                        <w:r w:rsidR="000C1D7E">
                          <w:t>l</w:t>
                        </w:r>
                        <w:r w:rsidRPr="00C55135">
                          <w:t xml:space="preserve">aws to </w:t>
                        </w:r>
                        <w:r w:rsidR="000C1D7E">
                          <w:t>w</w:t>
                        </w:r>
                        <w:r w:rsidRPr="00C55135">
                          <w:t xml:space="preserve">ork with </w:t>
                        </w:r>
                        <w:r w:rsidR="00BD6708">
                          <w:t xml:space="preserve">the </w:t>
                        </w:r>
                        <w:r w:rsidRPr="00C55135">
                          <w:t>FMLA</w:t>
                        </w:r>
                        <w:r w:rsidR="00A15D9A">
                          <w:t>;</w:t>
                        </w:r>
                      </w:p>
                      <w:p w:rsidR="00C55135" w:rsidP="00C55135" w14:paraId="0251A921" w14:textId="7EAAAB86">
                        <w:pPr>
                          <w:pStyle w:val="BodyText"/>
                          <w:numPr>
                            <w:ilvl w:val="0"/>
                            <w:numId w:val="17"/>
                          </w:numPr>
                          <w:spacing w:after="0" w:line="240" w:lineRule="auto"/>
                        </w:pPr>
                        <w:r w:rsidRPr="00C55135">
                          <w:t xml:space="preserve">Voluntary </w:t>
                        </w:r>
                        <w:r w:rsidR="000C1D7E">
                          <w:t>p</w:t>
                        </w:r>
                        <w:r w:rsidRPr="00C55135">
                          <w:t xml:space="preserve">aid </w:t>
                        </w:r>
                        <w:r w:rsidR="000C1D7E">
                          <w:t>f</w:t>
                        </w:r>
                        <w:r w:rsidRPr="00C55135">
                          <w:t xml:space="preserve">amily </w:t>
                        </w:r>
                        <w:r w:rsidR="000C1D7E">
                          <w:t>l</w:t>
                        </w:r>
                        <w:r w:rsidRPr="00C55135">
                          <w:t xml:space="preserve">eave </w:t>
                        </w:r>
                        <w:r w:rsidR="000C1D7E">
                          <w:t>i</w:t>
                        </w:r>
                        <w:r w:rsidRPr="00C55135">
                          <w:t xml:space="preserve">nsurance </w:t>
                        </w:r>
                        <w:r w:rsidR="000C1D7E">
                          <w:t>p</w:t>
                        </w:r>
                        <w:r w:rsidRPr="00C55135">
                          <w:t>rograms</w:t>
                        </w:r>
                        <w:r w:rsidR="00A63514">
                          <w:t>; and</w:t>
                        </w:r>
                      </w:p>
                      <w:p w:rsidR="00A63514" w:rsidRPr="007402E1" w:rsidP="00A63514" w14:paraId="795C3C63" w14:textId="064B9B6C">
                        <w:pPr>
                          <w:pStyle w:val="BodyText"/>
                          <w:numPr>
                            <w:ilvl w:val="0"/>
                            <w:numId w:val="17"/>
                          </w:numPr>
                          <w:spacing w:after="0" w:line="240" w:lineRule="auto"/>
                        </w:pPr>
                        <w:r w:rsidRPr="00A63514">
                          <w:t>Federal court</w:t>
                        </w:r>
                        <w:r>
                          <w:t>s’</w:t>
                        </w:r>
                        <w:r w:rsidRPr="00A63514">
                          <w:t xml:space="preserve"> increasingly ruling that USERRA requires employers to provide paid leave for military service if they compensate employees for comparable leaves.</w:t>
                        </w:r>
                      </w:p>
                      <w:p w:rsidR="0024208C" w:rsidRPr="00526C74" w:rsidP="000B1014" w14:paraId="0104BF90" w14:textId="77777777">
                        <w:pPr>
                          <w:pStyle w:val="Xbox"/>
                          <w:numPr>
                            <w:ilvl w:val="0"/>
                            <w:numId w:val="0"/>
                          </w:numPr>
                        </w:pPr>
                      </w:p>
                    </w:txbxContent>
                  </v:textbox>
                </v:shape>
              </v:group>
            </w:pict>
          </mc:Fallback>
        </mc:AlternateContent>
      </w:r>
      <w:r w:rsidR="00191C89">
        <w:t xml:space="preserve">Employee </w:t>
      </w:r>
      <w:r w:rsidRPr="00613E51">
        <w:t>Leave Trends</w:t>
      </w:r>
    </w:p>
    <w:p w14:paraId="0CD511EA" w14:textId="77777777" w:rsidR="00157181" w:rsidRDefault="00000000" w:rsidP="00410BD6">
      <w:pPr>
        <w:pStyle w:val="BodyText"/>
      </w:pPr>
      <w:r>
        <w:t>In recent years, there have been significant changes in employee leave laws at the state level</w:t>
      </w:r>
      <w:r w:rsidR="004921D4">
        <w:t xml:space="preserve"> as s</w:t>
      </w:r>
      <w:r w:rsidR="004A724D">
        <w:t xml:space="preserve">tates continue </w:t>
      </w:r>
      <w:r w:rsidR="00F2566E">
        <w:t xml:space="preserve">to </w:t>
      </w:r>
      <w:r w:rsidR="006210F5">
        <w:t>pass</w:t>
      </w:r>
      <w:r w:rsidR="004921D4">
        <w:t xml:space="preserve"> and</w:t>
      </w:r>
      <w:r w:rsidR="006210F5">
        <w:t xml:space="preserve"> expand leave laws. As </w:t>
      </w:r>
      <w:r w:rsidR="00A45479" w:rsidRPr="00A45479">
        <w:t xml:space="preserve">leave entitlements </w:t>
      </w:r>
      <w:r w:rsidR="00A45479">
        <w:t>expand</w:t>
      </w:r>
      <w:r w:rsidR="006210F5">
        <w:t xml:space="preserve">, </w:t>
      </w:r>
      <w:r w:rsidR="004E26FB">
        <w:t>numerous</w:t>
      </w:r>
      <w:r w:rsidR="00AC45BC">
        <w:t xml:space="preserve"> leave law</w:t>
      </w:r>
      <w:r w:rsidR="004E26FB">
        <w:t xml:space="preserve"> trends have emerged</w:t>
      </w:r>
      <w:r w:rsidR="00D042B7">
        <w:t>.</w:t>
      </w:r>
    </w:p>
    <w:p w14:paraId="651CECFC" w14:textId="77777777" w:rsidR="007E46BA" w:rsidRDefault="00000000" w:rsidP="00410BD6">
      <w:pPr>
        <w:pStyle w:val="BodyText"/>
      </w:pPr>
      <w:r>
        <w:t>In particular, states</w:t>
      </w:r>
      <w:r w:rsidR="00864836">
        <w:t xml:space="preserve"> have</w:t>
      </w:r>
      <w:r>
        <w:t xml:space="preserve"> </w:t>
      </w:r>
      <w:r w:rsidR="002955C5">
        <w:t>implement</w:t>
      </w:r>
      <w:r w:rsidR="00864836">
        <w:t>ed</w:t>
      </w:r>
      <w:r>
        <w:t xml:space="preserve"> n</w:t>
      </w:r>
      <w:r w:rsidR="004833E6" w:rsidRPr="004833E6">
        <w:t xml:space="preserve">ew </w:t>
      </w:r>
      <w:r>
        <w:t>p</w:t>
      </w:r>
      <w:r w:rsidR="00EE40C9">
        <w:t xml:space="preserve">aid </w:t>
      </w:r>
      <w:r>
        <w:t>s</w:t>
      </w:r>
      <w:r w:rsidR="00EE40C9">
        <w:t xml:space="preserve">ick </w:t>
      </w:r>
      <w:r>
        <w:t>l</w:t>
      </w:r>
      <w:r w:rsidR="00EE40C9">
        <w:t>eave (</w:t>
      </w:r>
      <w:r w:rsidR="004833E6" w:rsidRPr="004833E6">
        <w:t>PSL</w:t>
      </w:r>
      <w:r w:rsidR="00EE40C9">
        <w:t>)</w:t>
      </w:r>
      <w:r w:rsidR="004833E6" w:rsidRPr="004833E6">
        <w:t xml:space="preserve"> and </w:t>
      </w:r>
      <w:r>
        <w:t>p</w:t>
      </w:r>
      <w:r w:rsidR="00EE40C9">
        <w:t xml:space="preserve">aid </w:t>
      </w:r>
      <w:r>
        <w:t>f</w:t>
      </w:r>
      <w:r w:rsidR="00EE40C9">
        <w:t xml:space="preserve">amily and </w:t>
      </w:r>
      <w:r>
        <w:t>m</w:t>
      </w:r>
      <w:r w:rsidR="00EE40C9">
        <w:t xml:space="preserve">edical </w:t>
      </w:r>
      <w:r>
        <w:t>l</w:t>
      </w:r>
      <w:r w:rsidR="00EE40C9">
        <w:t>eave (</w:t>
      </w:r>
      <w:r w:rsidR="004833E6" w:rsidRPr="004833E6">
        <w:t>PFML</w:t>
      </w:r>
      <w:r w:rsidR="00EE40C9">
        <w:t>)</w:t>
      </w:r>
      <w:r w:rsidR="004833E6" w:rsidRPr="004833E6">
        <w:t xml:space="preserve"> </w:t>
      </w:r>
      <w:r>
        <w:t>p</w:t>
      </w:r>
      <w:r w:rsidR="004833E6" w:rsidRPr="004833E6">
        <w:t>rograms</w:t>
      </w:r>
      <w:r>
        <w:t>.</w:t>
      </w:r>
      <w:r w:rsidRPr="00D5478B">
        <w:t xml:space="preserve"> </w:t>
      </w:r>
      <w:r w:rsidR="00D042B7">
        <w:t>O</w:t>
      </w:r>
      <w:r>
        <w:t>ther states</w:t>
      </w:r>
      <w:r w:rsidR="00D042B7">
        <w:t xml:space="preserve"> have</w:t>
      </w:r>
      <w:r>
        <w:t xml:space="preserve"> </w:t>
      </w:r>
      <w:r w:rsidRPr="00D5478B">
        <w:t>updat</w:t>
      </w:r>
      <w:r w:rsidR="00D042B7">
        <w:t>e</w:t>
      </w:r>
      <w:r w:rsidR="002955C5">
        <w:t>d</w:t>
      </w:r>
      <w:r w:rsidR="00D042B7">
        <w:t xml:space="preserve"> </w:t>
      </w:r>
      <w:r w:rsidRPr="00D5478B">
        <w:t>their</w:t>
      </w:r>
      <w:r w:rsidR="002955C5">
        <w:t xml:space="preserve"> </w:t>
      </w:r>
      <w:r w:rsidRPr="00D5478B">
        <w:t>PSL</w:t>
      </w:r>
      <w:r w:rsidR="002955C5">
        <w:t xml:space="preserve"> and</w:t>
      </w:r>
      <w:r w:rsidRPr="00D5478B">
        <w:t xml:space="preserve"> </w:t>
      </w:r>
      <w:r w:rsidR="002955C5" w:rsidRPr="002955C5">
        <w:t xml:space="preserve">PFML </w:t>
      </w:r>
      <w:r w:rsidRPr="00D5478B">
        <w:t xml:space="preserve">laws to stay current with the provisions </w:t>
      </w:r>
      <w:r w:rsidR="00936765">
        <w:t xml:space="preserve">of </w:t>
      </w:r>
      <w:r w:rsidRPr="00D5478B">
        <w:t>the newer laws</w:t>
      </w:r>
      <w:r>
        <w:t>. Other significant trends include s</w:t>
      </w:r>
      <w:r w:rsidR="004833E6" w:rsidRPr="004833E6">
        <w:t xml:space="preserve">tate PSL </w:t>
      </w:r>
      <w:r>
        <w:t>b</w:t>
      </w:r>
      <w:r w:rsidR="004833E6" w:rsidRPr="004833E6">
        <w:t xml:space="preserve">allot </w:t>
      </w:r>
      <w:r>
        <w:t>m</w:t>
      </w:r>
      <w:r w:rsidR="004833E6" w:rsidRPr="004833E6">
        <w:t>easures</w:t>
      </w:r>
      <w:r>
        <w:t>, e</w:t>
      </w:r>
      <w:r w:rsidR="004833E6" w:rsidRPr="004833E6">
        <w:t xml:space="preserve">xpanded </w:t>
      </w:r>
      <w:r>
        <w:t>r</w:t>
      </w:r>
      <w:r w:rsidR="004833E6" w:rsidRPr="004833E6">
        <w:t xml:space="preserve">easons for </w:t>
      </w:r>
      <w:r>
        <w:t>l</w:t>
      </w:r>
      <w:r w:rsidR="004833E6" w:rsidRPr="004833E6">
        <w:t>eave</w:t>
      </w:r>
      <w:r w:rsidR="00CD0F75">
        <w:t>, e</w:t>
      </w:r>
      <w:r w:rsidR="004833E6" w:rsidRPr="004833E6">
        <w:t xml:space="preserve">xpanded </w:t>
      </w:r>
      <w:r w:rsidR="00CD0F75">
        <w:t>d</w:t>
      </w:r>
      <w:r w:rsidR="004833E6" w:rsidRPr="004833E6">
        <w:t>efinitions of “</w:t>
      </w:r>
      <w:r w:rsidR="00CD0F75">
        <w:t>f</w:t>
      </w:r>
      <w:r w:rsidR="004833E6" w:rsidRPr="004833E6">
        <w:t xml:space="preserve">amily </w:t>
      </w:r>
      <w:r w:rsidR="00CD0F75">
        <w:t>m</w:t>
      </w:r>
      <w:r w:rsidR="004833E6" w:rsidRPr="004833E6">
        <w:t>ember</w:t>
      </w:r>
      <w:r w:rsidR="00864836">
        <w:t>,</w:t>
      </w:r>
      <w:r w:rsidR="004833E6" w:rsidRPr="004833E6">
        <w:t>”</w:t>
      </w:r>
      <w:r w:rsidR="00CD0F75">
        <w:t xml:space="preserve"> </w:t>
      </w:r>
      <w:r w:rsidR="008A4F59">
        <w:t xml:space="preserve">and </w:t>
      </w:r>
      <w:r w:rsidR="00864836">
        <w:t xml:space="preserve">the </w:t>
      </w:r>
      <w:r w:rsidR="00CD0F75">
        <w:t>r</w:t>
      </w:r>
      <w:r w:rsidR="004833E6" w:rsidRPr="004833E6">
        <w:t xml:space="preserve">edesigning of </w:t>
      </w:r>
      <w:r w:rsidR="008A4F59">
        <w:t>s</w:t>
      </w:r>
      <w:r w:rsidR="004833E6" w:rsidRPr="004833E6">
        <w:t xml:space="preserve">tate PFML </w:t>
      </w:r>
      <w:r w:rsidR="008A4F59">
        <w:t>l</w:t>
      </w:r>
      <w:r w:rsidR="004833E6" w:rsidRPr="004833E6">
        <w:t xml:space="preserve">aws to </w:t>
      </w:r>
      <w:r w:rsidR="008A4F59">
        <w:t>w</w:t>
      </w:r>
      <w:r w:rsidR="004833E6" w:rsidRPr="004833E6">
        <w:t xml:space="preserve">ork with </w:t>
      </w:r>
      <w:r w:rsidR="00CD0F75">
        <w:t xml:space="preserve">the federal </w:t>
      </w:r>
      <w:r w:rsidR="00CD0F75" w:rsidRPr="00CD0F75">
        <w:t>Family and Medical Leave Act (FMLA)</w:t>
      </w:r>
      <w:r w:rsidR="008A4F59">
        <w:t>. Another particularly interesting trend has been the emergence of v</w:t>
      </w:r>
      <w:r w:rsidR="004833E6" w:rsidRPr="004833E6">
        <w:t xml:space="preserve">oluntary </w:t>
      </w:r>
      <w:r w:rsidR="008A4F59">
        <w:t>p</w:t>
      </w:r>
      <w:r w:rsidR="004833E6" w:rsidRPr="004833E6">
        <w:t xml:space="preserve">aid </w:t>
      </w:r>
      <w:r w:rsidR="008A4F59">
        <w:t>f</w:t>
      </w:r>
      <w:r w:rsidR="004833E6" w:rsidRPr="004833E6">
        <w:t xml:space="preserve">amily </w:t>
      </w:r>
      <w:r w:rsidR="008A4F59">
        <w:t>l</w:t>
      </w:r>
      <w:r w:rsidR="004833E6" w:rsidRPr="004833E6">
        <w:t xml:space="preserve">eave </w:t>
      </w:r>
      <w:r w:rsidR="008A4F59">
        <w:t>i</w:t>
      </w:r>
      <w:r w:rsidR="004833E6" w:rsidRPr="004833E6">
        <w:t xml:space="preserve">nsurance </w:t>
      </w:r>
      <w:r w:rsidR="008A4F59">
        <w:t>p</w:t>
      </w:r>
      <w:r w:rsidR="004833E6" w:rsidRPr="004833E6">
        <w:t>rograms</w:t>
      </w:r>
      <w:r w:rsidR="008A4F59">
        <w:t>.</w:t>
      </w:r>
    </w:p>
    <w:p w14:paraId="21BC7B7B" w14:textId="77777777" w:rsidR="00E93828" w:rsidRDefault="00000000" w:rsidP="00410BD6">
      <w:pPr>
        <w:pStyle w:val="BodyText"/>
      </w:pPr>
      <w:r>
        <w:t>At</w:t>
      </w:r>
      <w:r w:rsidRPr="00E93828">
        <w:t xml:space="preserve"> the federal level, employers should be aware that federal courts are increasingly ruling that the Uniform</w:t>
      </w:r>
      <w:r w:rsidR="0053037B">
        <w:t>ed</w:t>
      </w:r>
      <w:r w:rsidRPr="00E93828">
        <w:t xml:space="preserve"> Services Employment and Reemployment Rights Act (USERRA) requires employers to provide paid leave for military service if they compensate employees for comparable leaves.</w:t>
      </w:r>
    </w:p>
    <w:p w14:paraId="56D9E1CB" w14:textId="77777777" w:rsidR="00E93828" w:rsidRPr="00E93828" w:rsidRDefault="00000000" w:rsidP="00410BD6">
      <w:pPr>
        <w:pStyle w:val="BodyText"/>
      </w:pPr>
      <w:r w:rsidRPr="000019AA">
        <w:rPr>
          <w:noProof/>
          <w:highlight w:val="yellow"/>
        </w:rPr>
        <mc:AlternateContent>
          <mc:Choice Requires="wpg">
            <w:drawing>
              <wp:anchor distT="0" distB="0" distL="114300" distR="114300" simplePos="0" relativeHeight="251661312" behindDoc="0" locked="0" layoutInCell="1" allowOverlap="1" wp14:anchorId="1F108C7A" wp14:editId="58E9E7E8">
                <wp:simplePos x="0" y="0"/>
                <wp:positionH relativeFrom="page">
                  <wp:posOffset>44450</wp:posOffset>
                </wp:positionH>
                <wp:positionV relativeFrom="page">
                  <wp:posOffset>6352712</wp:posOffset>
                </wp:positionV>
                <wp:extent cx="7740650" cy="2116455"/>
                <wp:effectExtent l="0" t="0" r="0" b="0"/>
                <wp:wrapNone/>
                <wp:docPr id="10" name="Group 10"/>
                <wp:cNvGraphicFramePr/>
                <a:graphic xmlns:a="http://schemas.openxmlformats.org/drawingml/2006/main">
                  <a:graphicData uri="http://schemas.microsoft.com/office/word/2010/wordprocessingGroup">
                    <wpg:wgp>
                      <wpg:cNvGrpSpPr/>
                      <wpg:grpSpPr>
                        <a:xfrm>
                          <a:off x="0" y="0"/>
                          <a:ext cx="7740650" cy="2116455"/>
                          <a:chOff x="44597" y="105277"/>
                          <a:chExt cx="7740189" cy="2721974"/>
                        </a:xfrm>
                      </wpg:grpSpPr>
                      <wpg:grpSp>
                        <wpg:cNvPr id="8" name="Group 8"/>
                        <wpg:cNvGrpSpPr/>
                        <wpg:grpSpPr>
                          <a:xfrm>
                            <a:off x="44597" y="105277"/>
                            <a:ext cx="7740189" cy="952859"/>
                            <a:chOff x="44597" y="105277"/>
                            <a:chExt cx="7740189" cy="952859"/>
                          </a:xfrm>
                        </wpg:grpSpPr>
                        <pic:pic xmlns:pic="http://schemas.openxmlformats.org/drawingml/2006/picture">
                          <pic:nvPicPr>
                            <pic:cNvPr id="11" name="Picture 1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4597" y="425634"/>
                              <a:ext cx="7740189" cy="632502"/>
                            </a:xfrm>
                            <a:prstGeom prst="rect">
                              <a:avLst/>
                            </a:prstGeom>
                          </pic:spPr>
                        </pic:pic>
                        <wps:wsp>
                          <wps:cNvPr id="12" name="Text Box 2"/>
                          <wps:cNvSpPr txBox="1">
                            <a:spLocks noChangeArrowheads="1"/>
                          </wps:cNvSpPr>
                          <wps:spPr bwMode="auto">
                            <a:xfrm>
                              <a:off x="5030946" y="105277"/>
                              <a:ext cx="2413000" cy="407261"/>
                            </a:xfrm>
                            <a:prstGeom prst="rect">
                              <a:avLst/>
                            </a:prstGeom>
                            <a:noFill/>
                            <a:ln w="9525">
                              <a:noFill/>
                              <a:miter lim="800000"/>
                              <a:headEnd/>
                              <a:tailEnd/>
                            </a:ln>
                          </wps:spPr>
                          <wps:txbx>
                            <w:txbxContent>
                              <w:p w14:paraId="656507A5" w14:textId="77777777" w:rsidR="00677DD4" w:rsidRPr="00B27C10" w:rsidRDefault="00677DD4" w:rsidP="00036D4E">
                                <w:pPr>
                                  <w:pStyle w:val="SectionedHeader"/>
                                </w:pPr>
                              </w:p>
                            </w:txbxContent>
                          </wps:txbx>
                          <wps:bodyPr rot="0" vert="horz" wrap="square" lIns="91440" tIns="45720" rIns="91440" bIns="45720" anchor="t" anchorCtr="0"/>
                        </wps:wsp>
                      </wpg:grpSp>
                      <wps:wsp>
                        <wps:cNvPr id="14" name="Text Box 2"/>
                        <wps:cNvSpPr txBox="1">
                          <a:spLocks noChangeArrowheads="1"/>
                        </wps:cNvSpPr>
                        <wps:spPr bwMode="auto">
                          <a:xfrm>
                            <a:off x="5029200" y="353291"/>
                            <a:ext cx="2413000" cy="2473960"/>
                          </a:xfrm>
                          <a:prstGeom prst="rect">
                            <a:avLst/>
                          </a:prstGeom>
                          <a:noFill/>
                          <a:ln w="9525">
                            <a:noFill/>
                            <a:miter lim="800000"/>
                            <a:headEnd/>
                            <a:tailEnd/>
                          </a:ln>
                        </wps:spPr>
                        <wps:txbx>
                          <w:txbxContent>
                            <w:p w14:paraId="7C92D19A" w14:textId="77777777" w:rsidR="00837A4B" w:rsidRPr="000019AA" w:rsidRDefault="00837A4B" w:rsidP="00837A4B">
                              <w:pPr>
                                <w:pStyle w:val="BodyText"/>
                              </w:pPr>
                            </w:p>
                            <w:p w14:paraId="277FFCF4" w14:textId="77777777" w:rsidR="00677DD4" w:rsidRPr="000019AA" w:rsidRDefault="00677DD4" w:rsidP="00837A4B">
                              <w:pPr>
                                <w:pStyle w:val="Xbox"/>
                                <w:numPr>
                                  <w:ilvl w:val="0"/>
                                  <w:numId w:val="0"/>
                                </w:numPr>
                                <w:rPr>
                                  <w:highlight w:val="yellow"/>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10" o:spid="_x0000_s1030" style="width:609.5pt;height:166.65pt;margin-top:500.2pt;margin-left:3.5pt;mso-height-relative:margin;mso-position-horizontal-relative:page;mso-position-vertical-relative:page;mso-width-relative:margin;position:absolute;z-index:251662336" coordorigin="445,1052" coordsize="77401,27219">
                <v:group id="Group 8" o:spid="_x0000_s1031" style="width:77402;height:9529;left:445;position:absolute;top:1052" coordorigin="445,1052" coordsize="77401,9528">
                  <v:shape id="Picture 11" o:spid="_x0000_s1032" type="#_x0000_t75" style="width:77402;height:6325;left:445;mso-wrap-style:square;position:absolute;top:4256;visibility:visible">
                    <v:imagedata r:id="rId10" o:title=""/>
                  </v:shape>
                  <v:shape id="Text Box 2" o:spid="_x0000_s1033" type="#_x0000_t202" style="width:24130;height:4073;left:50309;mso-wrap-style:square;position:absolute;top:1052;v-text-anchor:top;visibility:visible" filled="f" stroked="f">
                    <v:textbox>
                      <w:txbxContent>
                        <w:p w:rsidR="00677DD4" w:rsidRPr="00B27C10" w:rsidP="00036D4E" w14:paraId="1E30C799" w14:textId="09471D10">
                          <w:pPr>
                            <w:pStyle w:val="SectionedHeader"/>
                          </w:pPr>
                        </w:p>
                      </w:txbxContent>
                    </v:textbox>
                  </v:shape>
                </v:group>
                <v:shape id="Text Box 2" o:spid="_x0000_s1034" type="#_x0000_t202" style="width:24130;height:24740;left:50292;mso-wrap-style:square;position:absolute;top:3532;v-text-anchor:top;visibility:visible" filled="f" stroked="f">
                  <v:textbox>
                    <w:txbxContent>
                      <w:p w:rsidR="00837A4B" w:rsidRPr="000019AA" w:rsidP="00837A4B" w14:paraId="4C67B54C" w14:textId="3636F8C0">
                        <w:pPr>
                          <w:pStyle w:val="BodyText"/>
                        </w:pPr>
                      </w:p>
                      <w:p w:rsidR="00677DD4" w:rsidRPr="000019AA" w:rsidP="00837A4B" w14:paraId="3155D6D4" w14:textId="6C332D54">
                        <w:pPr>
                          <w:pStyle w:val="Xbox"/>
                          <w:numPr>
                            <w:ilvl w:val="0"/>
                            <w:numId w:val="0"/>
                          </w:numPr>
                          <w:rPr>
                            <w:highlight w:val="yellow"/>
                          </w:rPr>
                        </w:pPr>
                      </w:p>
                    </w:txbxContent>
                  </v:textbox>
                </v:shape>
              </v:group>
            </w:pict>
          </mc:Fallback>
        </mc:AlternateContent>
      </w:r>
      <w:r w:rsidR="00E93828" w:rsidRPr="000019AA">
        <w:rPr>
          <w:noProof/>
          <w:highlight w:val="yellow"/>
        </w:rPr>
        <mc:AlternateContent>
          <mc:Choice Requires="wps">
            <w:drawing>
              <wp:anchor distT="0" distB="0" distL="114300" distR="114300" simplePos="0" relativeHeight="251663360" behindDoc="0" locked="0" layoutInCell="1" allowOverlap="1" wp14:anchorId="207282FA" wp14:editId="64178689">
                <wp:simplePos x="0" y="0"/>
                <wp:positionH relativeFrom="margin">
                  <wp:posOffset>-9525</wp:posOffset>
                </wp:positionH>
                <wp:positionV relativeFrom="page">
                  <wp:posOffset>6600825</wp:posOffset>
                </wp:positionV>
                <wp:extent cx="4356735" cy="1788795"/>
                <wp:effectExtent l="0" t="0" r="5715" b="1905"/>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735" cy="1788795"/>
                        </a:xfrm>
                        <a:prstGeom prst="rect">
                          <a:avLst/>
                        </a:prstGeom>
                        <a:solidFill>
                          <a:srgbClr val="6F61B0">
                            <a:alpha val="10000"/>
                          </a:srgbClr>
                        </a:solidFill>
                        <a:ln w="38100">
                          <a:noFill/>
                          <a:miter lim="800000"/>
                          <a:headEnd/>
                          <a:tailEnd/>
                        </a:ln>
                      </wps:spPr>
                      <wps:txbx>
                        <w:txbxContent>
                          <w:p w14:paraId="542437B4" w14:textId="77777777" w:rsidR="008C01A9" w:rsidRPr="008801A9" w:rsidRDefault="00000000" w:rsidP="00A95ADA">
                            <w:pPr>
                              <w:pStyle w:val="LR-Heading"/>
                            </w:pPr>
                            <w:r w:rsidRPr="008801A9">
                              <w:t>Links and Resources</w:t>
                            </w:r>
                          </w:p>
                          <w:p w14:paraId="0C79D008" w14:textId="77777777" w:rsidR="008C01A9" w:rsidRPr="00046D90" w:rsidRDefault="00000000">
                            <w:pPr>
                              <w:pStyle w:val="LR-BulletList"/>
                              <w:numPr>
                                <w:ilvl w:val="0"/>
                                <w:numId w:val="0"/>
                              </w:numPr>
                            </w:pPr>
                            <w:r>
                              <w:t>The best way to learn about state leave laws is to view the text of the laws and regulations and any available guidance provided by the</w:t>
                            </w:r>
                            <w:r w:rsidR="0077779D">
                              <w:t xml:space="preserve"> applicable</w:t>
                            </w:r>
                            <w:r>
                              <w:t xml:space="preserve"> state. For example, </w:t>
                            </w:r>
                            <w:r w:rsidR="001C25EC">
                              <w:t xml:space="preserve">California </w:t>
                            </w:r>
                            <w:r w:rsidR="00F10D9C">
                              <w:t xml:space="preserve">maintains comprehensive </w:t>
                            </w:r>
                            <w:hyperlink r:id="rId11" w:history="1">
                              <w:r w:rsidR="00F10D9C" w:rsidRPr="003A265F">
                                <w:rPr>
                                  <w:rStyle w:val="Hyperlink"/>
                                </w:rPr>
                                <w:t>frequently asked</w:t>
                              </w:r>
                              <w:r w:rsidR="003A265F" w:rsidRPr="003A265F">
                                <w:rPr>
                                  <w:rStyle w:val="Hyperlink"/>
                                </w:rPr>
                                <w:t xml:space="preserve"> questions</w:t>
                              </w:r>
                            </w:hyperlink>
                            <w:r w:rsidR="003A265F">
                              <w:t xml:space="preserve"> on its PSL law, and </w:t>
                            </w:r>
                            <w:r w:rsidR="00942942">
                              <w:t xml:space="preserve">Missouri has a </w:t>
                            </w:r>
                            <w:hyperlink r:id="rId12" w:history="1">
                              <w:r w:rsidR="00942942" w:rsidRPr="00714A8F">
                                <w:rPr>
                                  <w:rStyle w:val="Hyperlink"/>
                                </w:rPr>
                                <w:t>webpage</w:t>
                              </w:r>
                            </w:hyperlink>
                            <w:r w:rsidR="00942942">
                              <w:t xml:space="preserve"> dedicated to its PSL </w:t>
                            </w:r>
                            <w:r w:rsidR="00714A8F">
                              <w:t>ballot measure.</w:t>
                            </w:r>
                            <w:r w:rsidR="0077779D">
                              <w:t xml:space="preserve"> Employers should review such resources and consult with local counsel to ensure compliance with their legal obligations.</w:t>
                            </w:r>
                          </w:p>
                        </w:txbxContent>
                      </wps:txbx>
                      <wps:bodyPr rot="0" vert="horz" wrap="square" lIns="91440" tIns="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1" o:spid="_x0000_s1035" type="#_x0000_t202" style="width:343.05pt;height:140.85pt;margin-top:519.75pt;margin-left:-0.75pt;mso-height-percent:0;mso-height-relative:margin;mso-position-horizontal-relative:margin;mso-position-vertical-relative:page;mso-width-percent:0;mso-width-relative:margin;mso-wrap-distance-bottom:0;mso-wrap-distance-left:9pt;mso-wrap-distance-right:9pt;mso-wrap-distance-top:0;mso-wrap-style:square;position:absolute;v-text-anchor:top;visibility:visible;z-index:251664384" fillcolor="#6f61b0" stroked="f" strokeweight="3pt">
                <v:fill opacity="6682f"/>
                <v:textbox inset=",0">
                  <w:txbxContent>
                    <w:p w:rsidR="008C01A9" w:rsidRPr="008801A9" w:rsidP="00A95ADA" w14:paraId="08C4889C" w14:textId="77777777">
                      <w:pPr>
                        <w:pStyle w:val="LR-Heading"/>
                      </w:pPr>
                      <w:r w:rsidRPr="008801A9">
                        <w:t>Links and Resources</w:t>
                      </w:r>
                    </w:p>
                    <w:p w:rsidR="008C01A9" w:rsidRPr="00046D90" w14:paraId="40A178BF" w14:textId="63755F17">
                      <w:pPr>
                        <w:pStyle w:val="LR-BulletList"/>
                        <w:numPr>
                          <w:ilvl w:val="0"/>
                          <w:numId w:val="0"/>
                        </w:numPr>
                      </w:pPr>
                      <w:r>
                        <w:t>The best way to learn about state leave laws is to view the text of the laws and regulations and any available guidance provided by the</w:t>
                      </w:r>
                      <w:r w:rsidR="0077779D">
                        <w:t xml:space="preserve"> applicable</w:t>
                      </w:r>
                      <w:r>
                        <w:t xml:space="preserve"> state. For example, </w:t>
                      </w:r>
                      <w:r w:rsidR="001C25EC">
                        <w:t xml:space="preserve">California </w:t>
                      </w:r>
                      <w:r w:rsidR="00F10D9C">
                        <w:t xml:space="preserve">maintains comprehensive </w:t>
                      </w:r>
                      <w:hyperlink r:id="rId13" w:history="1">
                        <w:r w:rsidRPr="003A265F" w:rsidR="00F10D9C">
                          <w:rPr>
                            <w:rStyle w:val="Hyperlink"/>
                          </w:rPr>
                          <w:t>frequently asked</w:t>
                        </w:r>
                        <w:r w:rsidRPr="003A265F" w:rsidR="003A265F">
                          <w:rPr>
                            <w:rStyle w:val="Hyperlink"/>
                          </w:rPr>
                          <w:t xml:space="preserve"> questions</w:t>
                        </w:r>
                      </w:hyperlink>
                      <w:r w:rsidR="003A265F">
                        <w:t xml:space="preserve"> on its PSL law, and </w:t>
                      </w:r>
                      <w:r w:rsidR="00942942">
                        <w:t xml:space="preserve">Missouri has a </w:t>
                      </w:r>
                      <w:hyperlink r:id="rId14" w:history="1">
                        <w:r w:rsidRPr="00714A8F" w:rsidR="00942942">
                          <w:rPr>
                            <w:rStyle w:val="Hyperlink"/>
                          </w:rPr>
                          <w:t>webpage</w:t>
                        </w:r>
                      </w:hyperlink>
                      <w:r w:rsidR="00942942">
                        <w:t xml:space="preserve"> dedicated to its PSL </w:t>
                      </w:r>
                      <w:r w:rsidR="00714A8F">
                        <w:t>ballot measure.</w:t>
                      </w:r>
                      <w:r w:rsidR="0077779D">
                        <w:t xml:space="preserve"> Employers should review such resources and consult with local counsel to ensure compliance with their legal obligations.</w:t>
                      </w:r>
                    </w:p>
                  </w:txbxContent>
                </v:textbox>
                <w10:wrap type="topAndBottom"/>
              </v:shape>
            </w:pict>
          </mc:Fallback>
        </mc:AlternateContent>
      </w:r>
      <w:r w:rsidR="00E93828" w:rsidRPr="00E93828">
        <w:t xml:space="preserve">This Compliance Overview highlights key leave law trends employers </w:t>
      </w:r>
      <w:r w:rsidR="002D0362">
        <w:t>may</w:t>
      </w:r>
      <w:r w:rsidR="00E93828" w:rsidRPr="00E93828">
        <w:t xml:space="preserve"> continue to encounter in the future.</w:t>
      </w:r>
    </w:p>
    <w:p w14:paraId="7FB806DA" w14:textId="77777777" w:rsidR="007E46BA" w:rsidRDefault="00000000" w:rsidP="005941A4">
      <w:pPr>
        <w:pStyle w:val="Bullet"/>
        <w:numPr>
          <w:ilvl w:val="0"/>
          <w:numId w:val="0"/>
        </w:numPr>
      </w:pPr>
      <w:r w:rsidRPr="005B59C3">
        <w:t xml:space="preserve"> </w:t>
      </w:r>
    </w:p>
    <w:p w14:paraId="51EBDECB" w14:textId="77777777" w:rsidR="00CA1663" w:rsidRPr="000019AA" w:rsidRDefault="00CA1663" w:rsidP="005941A4">
      <w:pPr>
        <w:pStyle w:val="Bullet"/>
        <w:numPr>
          <w:ilvl w:val="0"/>
          <w:numId w:val="0"/>
        </w:numPr>
        <w:rPr>
          <w:highlight w:val="yellow"/>
        </w:rPr>
      </w:pPr>
    </w:p>
    <w:p w14:paraId="60CEE67D" w14:textId="77777777" w:rsidR="00CA1663" w:rsidRPr="000019AA" w:rsidRDefault="00000000" w:rsidP="00CA1663">
      <w:pPr>
        <w:pStyle w:val="Bullet"/>
        <w:numPr>
          <w:ilvl w:val="0"/>
          <w:numId w:val="0"/>
        </w:numPr>
        <w:ind w:left="720" w:hanging="360"/>
        <w:rPr>
          <w:highlight w:val="yellow"/>
        </w:rPr>
      </w:pPr>
      <w:r w:rsidRPr="000019AA">
        <w:rPr>
          <w:noProof/>
          <w:highlight w:val="yellow"/>
        </w:rPr>
        <mc:AlternateContent>
          <mc:Choice Requires="wps">
            <w:drawing>
              <wp:anchor distT="0" distB="0" distL="114300" distR="114300" simplePos="0" relativeHeight="251660288" behindDoc="0" locked="0" layoutInCell="1" allowOverlap="1" wp14:anchorId="75912E2D" wp14:editId="5DA57094">
                <wp:simplePos x="0" y="0"/>
                <wp:positionH relativeFrom="margin">
                  <wp:posOffset>-100584</wp:posOffset>
                </wp:positionH>
                <wp:positionV relativeFrom="margin">
                  <wp:posOffset>5989066</wp:posOffset>
                </wp:positionV>
                <wp:extent cx="4344670" cy="59499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344670" cy="594995"/>
                        </a:xfrm>
                        <a:prstGeom prst="rect">
                          <a:avLst/>
                        </a:prstGeom>
                        <a:noFill/>
                        <a:ln w="6350">
                          <a:noFill/>
                        </a:ln>
                        <a:effectLst/>
                      </wps:spPr>
                      <wps:txbx>
                        <w:txbxContent>
                          <w:p w14:paraId="6A57F592" w14:textId="77777777" w:rsidR="00E6115F" w:rsidRPr="002D7201" w:rsidRDefault="00000000" w:rsidP="00E6115F">
                            <w:pPr>
                              <w:pStyle w:val="Header"/>
                              <w:rPr>
                                <w:color w:val="6F61B0"/>
                                <w:sz w:val="20"/>
                                <w:szCs w:val="20"/>
                              </w:rPr>
                            </w:pPr>
                            <w:r w:rsidRPr="000847AD">
                              <w:rPr>
                                <w:color w:val="595959" w:themeColor="text1" w:themeTint="A6"/>
                                <w:sz w:val="20"/>
                                <w:szCs w:val="20"/>
                              </w:rPr>
                              <w:t xml:space="preserve">Provided to you by </w:t>
                            </w:r>
                            <w:r w:rsidRPr="002D7201">
                              <w:rPr>
                                <w:b/>
                                <w:color w:val="6F61B0"/>
                                <w:sz w:val="20"/>
                                <w:szCs w:val="20"/>
                              </w:rPr>
                              <w:t>Higginbotham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4" o:spid="_x0000_s1036" type="#_x0000_t202" style="width:342.1pt;height:46.85pt;margin-top:471.58pt;margin-left:-7.92pt;mso-height-percent:0;mso-height-relative:margin;mso-position-horizontal-relative:margin;mso-position-vertical-relative:margin;mso-width-percent:0;mso-width-relative:margin;mso-wrap-distance-bottom:0;mso-wrap-distance-left:9pt;mso-wrap-distance-right:9pt;mso-wrap-distance-top:0;position:absolute;v-text-anchor:top;z-index:251659264" filled="f" fillcolor="this" stroked="f" strokeweight="0.5pt">
                <v:textbox>
                  <w:txbxContent>
                    <w:p w:rsidR="00E6115F" w:rsidRPr="002D7201" w:rsidP="00E6115F" w14:paraId="58F4BAF0" w14:textId="77777777">
                      <w:pPr>
                        <w:pStyle w:val="Header"/>
                        <w:rPr>
                          <w:color w:val="6F61B0"/>
                          <w:sz w:val="20"/>
                          <w:szCs w:val="20"/>
                        </w:rPr>
                      </w:pPr>
                      <w:r w:rsidRPr="000847AD">
                        <w:rPr>
                          <w:color w:val="595959" w:themeColor="text1" w:themeTint="A6"/>
                          <w:sz w:val="20"/>
                          <w:szCs w:val="20"/>
                        </w:rPr>
                        <w:t xml:space="preserve">Provided to you by </w:t>
                      </w:r>
                      <w:r w:rsidRPr="002D7201">
                        <w:rPr>
                          <w:b/>
                          <w:color w:val="6F61B0"/>
                          <w:sz w:val="20"/>
                          <w:szCs w:val="20"/>
                        </w:rPr>
                        <w:t>Higginbotham</w:t>
                      </w:r>
                    </w:p>
                  </w:txbxContent>
                </v:textbox>
                <w10:wrap anchorx="margin" anchory="margin"/>
              </v:shape>
            </w:pict>
          </mc:Fallback>
        </mc:AlternateContent>
      </w:r>
      <w:r w:rsidR="00CA1663" w:rsidRPr="000019AA">
        <w:rPr>
          <w:highlight w:val="yellow"/>
        </w:rPr>
        <w:t xml:space="preserve"> </w:t>
      </w:r>
    </w:p>
    <w:p w14:paraId="7C6D33F4" w14:textId="77777777" w:rsidR="00CA1663" w:rsidRPr="000019AA" w:rsidRDefault="00CA1663" w:rsidP="00CA1663">
      <w:pPr>
        <w:pStyle w:val="Bullet"/>
        <w:numPr>
          <w:ilvl w:val="0"/>
          <w:numId w:val="0"/>
        </w:numPr>
        <w:rPr>
          <w:highlight w:val="yellow"/>
        </w:rPr>
        <w:sectPr w:rsidR="00CA1663" w:rsidRPr="000019AA" w:rsidSect="008A7E71">
          <w:headerReference w:type="default" r:id="rId15"/>
          <w:footerReference w:type="default" r:id="rId16"/>
          <w:pgSz w:w="12240" w:h="15840"/>
          <w:pgMar w:top="3946" w:right="4680" w:bottom="1440" w:left="720" w:header="720" w:footer="720" w:gutter="0"/>
          <w:cols w:space="720"/>
          <w:docGrid w:linePitch="360"/>
        </w:sectPr>
      </w:pPr>
    </w:p>
    <w:p w14:paraId="046F2316" w14:textId="77777777" w:rsidR="00C84C66" w:rsidRPr="007F40FF" w:rsidRDefault="00000000" w:rsidP="00C84C66">
      <w:pPr>
        <w:pStyle w:val="MainTitle"/>
      </w:pPr>
      <w:r w:rsidRPr="007F40FF">
        <w:lastRenderedPageBreak/>
        <w:t>2025 Employee Leave Trends</w:t>
      </w:r>
    </w:p>
    <w:p w14:paraId="36A1B7D1" w14:textId="77777777" w:rsidR="00C84C66" w:rsidRPr="000019AA" w:rsidRDefault="00000000" w:rsidP="00C84C66">
      <w:pPr>
        <w:pStyle w:val="SubHeader"/>
        <w:rPr>
          <w:highlight w:val="yellow"/>
        </w:rPr>
      </w:pPr>
      <w:r w:rsidRPr="004E4B6D">
        <w:t xml:space="preserve">New </w:t>
      </w:r>
      <w:r w:rsidR="009B3518">
        <w:t>S</w:t>
      </w:r>
      <w:r w:rsidRPr="004E4B6D">
        <w:t xml:space="preserve">tate PSL and PFML </w:t>
      </w:r>
      <w:r w:rsidR="009B3518">
        <w:t>P</w:t>
      </w:r>
      <w:r w:rsidRPr="004E4B6D">
        <w:t>rograms</w:t>
      </w:r>
    </w:p>
    <w:p w14:paraId="7515A8EF" w14:textId="77777777" w:rsidR="00C30002" w:rsidRPr="00C30002" w:rsidRDefault="00000000" w:rsidP="00C30002">
      <w:pPr>
        <w:pStyle w:val="BodyText"/>
      </w:pPr>
      <w:r>
        <w:t>In</w:t>
      </w:r>
      <w:r w:rsidRPr="00C30002">
        <w:t xml:space="preserve"> a growing trend, states across the country are enacting their own</w:t>
      </w:r>
      <w:r w:rsidR="00CF05A3">
        <w:t xml:space="preserve"> </w:t>
      </w:r>
      <w:r w:rsidR="00371980">
        <w:t xml:space="preserve">PSL </w:t>
      </w:r>
      <w:r w:rsidRPr="00C30002">
        <w:t xml:space="preserve">laws. Currently, 17 states and the District of Columbia have statewide laws in effect that require employers to provide </w:t>
      </w:r>
      <w:r w:rsidR="00200E35">
        <w:t>PSL</w:t>
      </w:r>
      <w:r w:rsidRPr="00C30002">
        <w:t xml:space="preserve"> benefits to employees. An additional three states—Maine, Nevada and Illinois—have laws mandating paid employee leave for any reason. Further, Nebraska’s </w:t>
      </w:r>
      <w:r w:rsidR="00FD36E0">
        <w:t xml:space="preserve">PSL </w:t>
      </w:r>
      <w:r w:rsidRPr="00C30002">
        <w:t>ballot measure is set to take effect in October 2025.</w:t>
      </w:r>
    </w:p>
    <w:p w14:paraId="5AFEDB20" w14:textId="77777777" w:rsidR="004E4B6D" w:rsidRDefault="00000000" w:rsidP="00C30002">
      <w:pPr>
        <w:pStyle w:val="BodyText"/>
      </w:pPr>
      <w:r w:rsidRPr="00C30002">
        <w:t xml:space="preserve">Each of these state laws has its own rules for features such as employer and employee coverage, qualifying reasons for leave and amount of paid leave, among others. </w:t>
      </w:r>
      <w:r w:rsidR="0021208D" w:rsidRPr="0021208D">
        <w:t xml:space="preserve">Localities across the country have also passed ordinances mandating </w:t>
      </w:r>
      <w:r w:rsidR="00EA7D3C">
        <w:t>PSL</w:t>
      </w:r>
      <w:r w:rsidR="0021208D" w:rsidRPr="0021208D">
        <w:t xml:space="preserve">. Employers must generally comply with both the statewide </w:t>
      </w:r>
      <w:r w:rsidR="00EA7D3C">
        <w:t xml:space="preserve">PSL </w:t>
      </w:r>
      <w:r w:rsidR="0021208D" w:rsidRPr="0021208D">
        <w:t>laws and local ordinances.</w:t>
      </w:r>
      <w:r w:rsidR="00E1217D" w:rsidRPr="00E1217D">
        <w:t xml:space="preserve"> If any discrepancies exist among federal, state and local laws, employers </w:t>
      </w:r>
      <w:r w:rsidR="00456D64">
        <w:t xml:space="preserve">should remember that they </w:t>
      </w:r>
      <w:r w:rsidR="00E1217D" w:rsidRPr="00E1217D">
        <w:t>must comply with the provisions that are most favorable to employees.</w:t>
      </w:r>
    </w:p>
    <w:p w14:paraId="7E292FAA" w14:textId="77777777" w:rsidR="007A1895" w:rsidRDefault="00000000" w:rsidP="007A1895">
      <w:pPr>
        <w:pStyle w:val="BodyText"/>
      </w:pPr>
      <w:r>
        <w:t xml:space="preserve">Additionally, states across the country are enacting laws addressing </w:t>
      </w:r>
      <w:r w:rsidR="00A51B17">
        <w:t xml:space="preserve">PFML </w:t>
      </w:r>
      <w:r>
        <w:t xml:space="preserve">for employees. </w:t>
      </w:r>
      <w:r w:rsidR="007E7977">
        <w:t>T</w:t>
      </w:r>
      <w:r>
        <w:t xml:space="preserve">his </w:t>
      </w:r>
      <w:r w:rsidR="007E7977">
        <w:t xml:space="preserve">currently </w:t>
      </w:r>
      <w:r>
        <w:t xml:space="preserve">includes </w:t>
      </w:r>
      <w:r w:rsidR="007E7F67">
        <w:t xml:space="preserve">states such as </w:t>
      </w:r>
      <w:r>
        <w:t>California, Massachusetts, Minnesota</w:t>
      </w:r>
      <w:r w:rsidR="007E7F67">
        <w:t xml:space="preserve"> and </w:t>
      </w:r>
      <w:r>
        <w:t xml:space="preserve">New York, </w:t>
      </w:r>
      <w:r w:rsidR="00F02506">
        <w:t xml:space="preserve">among others, as well as </w:t>
      </w:r>
      <w:r>
        <w:t xml:space="preserve">the District of Columbia. In general, </w:t>
      </w:r>
      <w:r w:rsidR="00416F95">
        <w:t>PFML</w:t>
      </w:r>
      <w:r>
        <w:t xml:space="preserve"> programs provide employees with partial wage replacement during time off to care for an ill family member or for their own medical conditions. </w:t>
      </w:r>
    </w:p>
    <w:p w14:paraId="0D16932F" w14:textId="77777777" w:rsidR="003A725C" w:rsidRDefault="00000000" w:rsidP="007A1895">
      <w:pPr>
        <w:pStyle w:val="BodyText"/>
      </w:pPr>
      <w:r>
        <w:t>The features of the programs differ as to the amount of leave compensated, the compensation rate and</w:t>
      </w:r>
      <w:r w:rsidR="00B847B9">
        <w:t>,</w:t>
      </w:r>
      <w:r>
        <w:t xml:space="preserve"> importantly, whether they provide employees with a right to job-protected leave. The laws also vary on whether leave is funded by employers, employees or both, and whether insurance programs are voluntary or mandatory.</w:t>
      </w:r>
    </w:p>
    <w:p w14:paraId="36192075" w14:textId="77777777" w:rsidR="007E5B2D" w:rsidRPr="000019AA" w:rsidRDefault="00000000" w:rsidP="007E5B2D">
      <w:pPr>
        <w:pStyle w:val="SubHeader"/>
        <w:rPr>
          <w:highlight w:val="yellow"/>
        </w:rPr>
      </w:pPr>
      <w:r>
        <w:t>Amendments to Existing</w:t>
      </w:r>
      <w:r w:rsidRPr="004E4B6D">
        <w:t xml:space="preserve"> </w:t>
      </w:r>
      <w:r>
        <w:t>S</w:t>
      </w:r>
      <w:r w:rsidRPr="004E4B6D">
        <w:t xml:space="preserve">tate PSL and PFML </w:t>
      </w:r>
      <w:r>
        <w:t>P</w:t>
      </w:r>
      <w:r w:rsidRPr="004E4B6D">
        <w:t>rograms</w:t>
      </w:r>
    </w:p>
    <w:p w14:paraId="7CFEECAF" w14:textId="77777777" w:rsidR="007E5B2D" w:rsidRDefault="00000000" w:rsidP="007E5B2D">
      <w:pPr>
        <w:pStyle w:val="BodyText"/>
      </w:pPr>
      <w:r>
        <w:t>E</w:t>
      </w:r>
      <w:r w:rsidR="007953F7" w:rsidRPr="007953F7">
        <w:t xml:space="preserve">mployers should also be mindful of leave requirements in states that were </w:t>
      </w:r>
      <w:r w:rsidR="00805553">
        <w:t>among the earliest to enact such legislation</w:t>
      </w:r>
      <w:r w:rsidR="007953F7" w:rsidRPr="007953F7">
        <w:t xml:space="preserve">. It is a trend among these states to update their PFML and PSL laws to stay current with the </w:t>
      </w:r>
      <w:r w:rsidR="00FE5595">
        <w:t>types</w:t>
      </w:r>
      <w:r w:rsidR="007953F7" w:rsidRPr="007953F7">
        <w:t xml:space="preserve"> of provisions the newer laws contain. </w:t>
      </w:r>
      <w:r w:rsidR="00BC5A3E" w:rsidRPr="00BC5A3E">
        <w:t xml:space="preserve">Amendments </w:t>
      </w:r>
      <w:r w:rsidR="00BC5A3E">
        <w:t>are being</w:t>
      </w:r>
      <w:r w:rsidR="00BC5A3E" w:rsidRPr="00BC5A3E">
        <w:t xml:space="preserve"> passed </w:t>
      </w:r>
      <w:r w:rsidR="002540B1">
        <w:t xml:space="preserve">and </w:t>
      </w:r>
      <w:r w:rsidR="001A41DD">
        <w:t xml:space="preserve">they </w:t>
      </w:r>
      <w:r w:rsidR="007A0C05">
        <w:t>provide</w:t>
      </w:r>
      <w:r w:rsidR="0030303C">
        <w:t xml:space="preserve"> enhanced requirements</w:t>
      </w:r>
      <w:r w:rsidR="007D6E4A">
        <w:t>,</w:t>
      </w:r>
      <w:r w:rsidR="0030303C">
        <w:t xml:space="preserve"> such as covering more</w:t>
      </w:r>
      <w:r w:rsidR="001D3AA0">
        <w:t xml:space="preserve"> employees and providing more </w:t>
      </w:r>
      <w:r w:rsidR="00484B6A">
        <w:t>leave time</w:t>
      </w:r>
      <w:r w:rsidR="001D3AA0">
        <w:t>.</w:t>
      </w:r>
    </w:p>
    <w:p w14:paraId="5ACB0104" w14:textId="77777777" w:rsidR="007E5B2D" w:rsidRDefault="00000000" w:rsidP="007A1895">
      <w:pPr>
        <w:pStyle w:val="BodyText"/>
      </w:pPr>
      <w:r>
        <w:t xml:space="preserve">For example, </w:t>
      </w:r>
      <w:r w:rsidR="00541C08" w:rsidRPr="00541C08">
        <w:t xml:space="preserve">Connecticut’s </w:t>
      </w:r>
      <w:r w:rsidR="00FA04CC">
        <w:t>PSL</w:t>
      </w:r>
      <w:r w:rsidR="00541C08" w:rsidRPr="00541C08">
        <w:t xml:space="preserve"> </w:t>
      </w:r>
      <w:r w:rsidR="00541C08" w:rsidRPr="004F1511">
        <w:t>law</w:t>
      </w:r>
      <w:r w:rsidR="00541C08" w:rsidRPr="00541C08">
        <w:t xml:space="preserve"> took effect in 2012, mandating up to 40 hours of leave per year for certain workers. </w:t>
      </w:r>
      <w:r w:rsidR="00541C08" w:rsidRPr="001F6508">
        <w:t>Amendments</w:t>
      </w:r>
      <w:r w:rsidR="00541C08" w:rsidRPr="00541C08">
        <w:t xml:space="preserve"> to the law passed in 2024 significantly expanded the </w:t>
      </w:r>
      <w:r w:rsidR="008460E6">
        <w:t>PSL</w:t>
      </w:r>
      <w:r w:rsidR="00541C08" w:rsidRPr="00541C08">
        <w:t xml:space="preserve"> mandate, requiring leave for nearly all Connecticut workers by 2027. The amendments phase in the expanded coverage to successively smaller employers year by year, beginning </w:t>
      </w:r>
      <w:r w:rsidR="00EA28CB">
        <w:t xml:space="preserve">as of </w:t>
      </w:r>
      <w:r w:rsidR="00541C08" w:rsidRPr="00541C08">
        <w:t>Jan. 1, 2025.</w:t>
      </w:r>
    </w:p>
    <w:p w14:paraId="38F2D1A4" w14:textId="77777777" w:rsidR="00F60AC7" w:rsidRDefault="00000000" w:rsidP="00193242">
      <w:pPr>
        <w:pStyle w:val="BodyText"/>
      </w:pPr>
      <w:r>
        <w:t xml:space="preserve">As another example, </w:t>
      </w:r>
      <w:r w:rsidR="004D2D09">
        <w:t xml:space="preserve">in Rhode Island, </w:t>
      </w:r>
      <w:r w:rsidR="00193242">
        <w:t xml:space="preserve">Temporary Caregiver Insurance (TCI) provides up to seven weeks of wage replacement benefits for eligible workers who need time off to care for </w:t>
      </w:r>
      <w:r w:rsidR="00A96ECF">
        <w:t>specifi</w:t>
      </w:r>
      <w:r w:rsidR="00C50944">
        <w:t>ed</w:t>
      </w:r>
      <w:r w:rsidR="00A96ECF">
        <w:t xml:space="preserve"> individuals, </w:t>
      </w:r>
      <w:r w:rsidR="00193242">
        <w:t>to bond with a new child</w:t>
      </w:r>
      <w:r w:rsidR="002A0623">
        <w:t>,</w:t>
      </w:r>
      <w:r w:rsidR="00193242">
        <w:t xml:space="preserve"> or for organ or bone marrow donation</w:t>
      </w:r>
      <w:r w:rsidR="00B3425B">
        <w:t>. E</w:t>
      </w:r>
      <w:r w:rsidR="00F50E21" w:rsidRPr="00F50E21">
        <w:t>ffective Jan. 1, 2026</w:t>
      </w:r>
      <w:r w:rsidR="00F50E21">
        <w:t>, the</w:t>
      </w:r>
      <w:r w:rsidR="003309A3">
        <w:t xml:space="preserve"> seven-week</w:t>
      </w:r>
      <w:r w:rsidR="00F50E21">
        <w:t xml:space="preserve"> time</w:t>
      </w:r>
      <w:r w:rsidR="00B3425B">
        <w:t xml:space="preserve"> period</w:t>
      </w:r>
      <w:r w:rsidR="00F50E21">
        <w:t xml:space="preserve"> </w:t>
      </w:r>
      <w:r w:rsidR="002C4D5B">
        <w:t xml:space="preserve">noted above </w:t>
      </w:r>
      <w:r w:rsidR="003309A3">
        <w:t xml:space="preserve">will </w:t>
      </w:r>
      <w:r w:rsidR="00F50E21">
        <w:t xml:space="preserve">increase to </w:t>
      </w:r>
      <w:r w:rsidR="00F50E21" w:rsidRPr="00F50E21">
        <w:t>eight weeks</w:t>
      </w:r>
      <w:r w:rsidR="00F50E21">
        <w:t>.</w:t>
      </w:r>
    </w:p>
    <w:p w14:paraId="56615C97" w14:textId="77777777" w:rsidR="003A725C" w:rsidRPr="000019AA" w:rsidRDefault="00000000" w:rsidP="003A725C">
      <w:pPr>
        <w:pStyle w:val="SubHeader"/>
        <w:rPr>
          <w:highlight w:val="yellow"/>
        </w:rPr>
      </w:pPr>
      <w:r>
        <w:t>S</w:t>
      </w:r>
      <w:r w:rsidRPr="004E4B6D">
        <w:t xml:space="preserve">tate PSL </w:t>
      </w:r>
      <w:r w:rsidR="00371980">
        <w:t>Ballot Measures</w:t>
      </w:r>
    </w:p>
    <w:p w14:paraId="7029E8CA" w14:textId="77777777" w:rsidR="004E4B6D" w:rsidRDefault="00000000" w:rsidP="00C84C66">
      <w:pPr>
        <w:pStyle w:val="BodyText"/>
      </w:pPr>
      <w:r>
        <w:t>V</w:t>
      </w:r>
      <w:r w:rsidRPr="00FB16B4">
        <w:t xml:space="preserve">oters in several states </w:t>
      </w:r>
      <w:r w:rsidR="00875809">
        <w:t xml:space="preserve">have </w:t>
      </w:r>
      <w:r w:rsidRPr="00FB16B4">
        <w:t>decided on ballot measures that impact and change the workplace</w:t>
      </w:r>
      <w:r w:rsidR="00875809">
        <w:t xml:space="preserve">. </w:t>
      </w:r>
      <w:r w:rsidR="00633636">
        <w:t>B</w:t>
      </w:r>
      <w:r w:rsidRPr="00FB16B4">
        <w:t>allot measures</w:t>
      </w:r>
      <w:r w:rsidR="00633636">
        <w:t xml:space="preserve"> have</w:t>
      </w:r>
      <w:r w:rsidRPr="00FB16B4">
        <w:t xml:space="preserve"> include</w:t>
      </w:r>
      <w:r w:rsidR="00633636">
        <w:t>d</w:t>
      </w:r>
      <w:r w:rsidR="00875809">
        <w:t xml:space="preserve"> topics such as </w:t>
      </w:r>
      <w:r w:rsidR="00A6045F">
        <w:t>m</w:t>
      </w:r>
      <w:r w:rsidRPr="00FB16B4">
        <w:t>inimum wage increases</w:t>
      </w:r>
      <w:r w:rsidR="00A6045F">
        <w:t xml:space="preserve"> and </w:t>
      </w:r>
      <w:r w:rsidR="00633636">
        <w:t>PSL</w:t>
      </w:r>
      <w:r w:rsidRPr="00FB16B4">
        <w:t xml:space="preserve"> mandates</w:t>
      </w:r>
      <w:r w:rsidR="00633636">
        <w:t xml:space="preserve">. </w:t>
      </w:r>
      <w:r w:rsidR="00AF6987" w:rsidRPr="00AF6987">
        <w:t xml:space="preserve">Employers should review </w:t>
      </w:r>
      <w:r w:rsidR="00C134E0">
        <w:t>any</w:t>
      </w:r>
      <w:r w:rsidR="00AF6987" w:rsidRPr="00AF6987">
        <w:t xml:space="preserve"> ballot measures </w:t>
      </w:r>
      <w:r w:rsidR="00C134E0">
        <w:t xml:space="preserve">applicable in their states, </w:t>
      </w:r>
      <w:r w:rsidR="00AF6987" w:rsidRPr="00AF6987">
        <w:t xml:space="preserve">and impacted employers should update their employment policies, practices and procedures to </w:t>
      </w:r>
      <w:r w:rsidR="00AF6987" w:rsidRPr="00AF6987">
        <w:lastRenderedPageBreak/>
        <w:t>remain compliant with any changes. Employers should seek the advice of a knowledgeable legal professional for specific situations and counsel on how to implement required changes.</w:t>
      </w:r>
    </w:p>
    <w:p w14:paraId="12D488B8" w14:textId="77777777" w:rsidR="00D95F7B" w:rsidRDefault="00000000" w:rsidP="008039C2">
      <w:pPr>
        <w:pStyle w:val="BodyText"/>
        <w:spacing w:after="0" w:line="240" w:lineRule="auto"/>
      </w:pPr>
      <w:r>
        <w:rPr>
          <w:b/>
          <w:bCs/>
          <w:i/>
          <w:iCs/>
        </w:rPr>
        <w:t>LEGISLATIVE AND LEGAL PUSHBACK</w:t>
      </w:r>
    </w:p>
    <w:p w14:paraId="7E8DADB7" w14:textId="77777777" w:rsidR="00086835" w:rsidRDefault="00000000" w:rsidP="004E4B6D">
      <w:pPr>
        <w:pStyle w:val="BodyText"/>
      </w:pPr>
      <w:r>
        <w:t xml:space="preserve">Despite </w:t>
      </w:r>
      <w:r w:rsidR="003701F3">
        <w:t xml:space="preserve">the </w:t>
      </w:r>
      <w:r>
        <w:t>enact</w:t>
      </w:r>
      <w:r w:rsidR="007C6DD1">
        <w:t>ment</w:t>
      </w:r>
      <w:r w:rsidR="003701F3">
        <w:t xml:space="preserve"> of</w:t>
      </w:r>
      <w:r>
        <w:t xml:space="preserve"> PSL laws </w:t>
      </w:r>
      <w:r w:rsidR="000D2977">
        <w:t xml:space="preserve">via ballot measures, there has been </w:t>
      </w:r>
      <w:r w:rsidR="004D7955">
        <w:t>l</w:t>
      </w:r>
      <w:r w:rsidR="000D2977" w:rsidRPr="004E4B6D">
        <w:t xml:space="preserve">egislative and legal pushback against </w:t>
      </w:r>
      <w:r w:rsidR="003701F3" w:rsidRPr="003701F3">
        <w:t xml:space="preserve">such </w:t>
      </w:r>
      <w:r w:rsidR="000D2977" w:rsidRPr="004E4B6D">
        <w:t xml:space="preserve">measures, </w:t>
      </w:r>
      <w:r w:rsidR="003701F3" w:rsidRPr="003701F3">
        <w:t xml:space="preserve">resulting in some </w:t>
      </w:r>
      <w:r w:rsidR="000D2977" w:rsidRPr="004E4B6D">
        <w:t>enacted ballot measures</w:t>
      </w:r>
      <w:r w:rsidR="003701F3" w:rsidRPr="003701F3">
        <w:t xml:space="preserve"> being</w:t>
      </w:r>
      <w:r w:rsidR="000D2977" w:rsidRPr="004E4B6D">
        <w:t xml:space="preserve"> narrowed or repealed</w:t>
      </w:r>
      <w:r w:rsidR="003701F3">
        <w:t>.</w:t>
      </w:r>
      <w:r w:rsidR="00EF5191">
        <w:t xml:space="preserve"> </w:t>
      </w:r>
      <w:r w:rsidR="00AA4A67">
        <w:t xml:space="preserve">Missouri provides a </w:t>
      </w:r>
      <w:r w:rsidR="004665D8">
        <w:t>detailed example. In</w:t>
      </w:r>
      <w:r w:rsidR="00F909DE" w:rsidRPr="00F909DE">
        <w:t xml:space="preserve"> November 2024, Missouri voters approved a ballot measure requiring employers to provide earned </w:t>
      </w:r>
      <w:r w:rsidR="00743042">
        <w:t>PSL</w:t>
      </w:r>
      <w:r w:rsidR="00F909DE" w:rsidRPr="00F909DE">
        <w:t xml:space="preserve"> to their employees. </w:t>
      </w:r>
      <w:r w:rsidR="00651317">
        <w:t xml:space="preserve">However, </w:t>
      </w:r>
      <w:r w:rsidR="00150800">
        <w:t>a</w:t>
      </w:r>
      <w:r w:rsidR="00150800" w:rsidRPr="00150800">
        <w:t xml:space="preserve"> bill repealing the </w:t>
      </w:r>
      <w:r w:rsidR="00F911E8">
        <w:t>PSL</w:t>
      </w:r>
      <w:r w:rsidR="00150800" w:rsidRPr="00150800">
        <w:t xml:space="preserve"> measure passed the Missouri House of Representatives in March</w:t>
      </w:r>
      <w:r w:rsidR="00C11DDE">
        <w:t>. T</w:t>
      </w:r>
      <w:r w:rsidR="00150800" w:rsidRPr="00150800">
        <w:t>he bill faced obstacles in the Senate and did not pass before the measure’s effective date of May 1</w:t>
      </w:r>
      <w:r w:rsidR="00B4439B">
        <w:t>, 2025</w:t>
      </w:r>
      <w:r w:rsidR="00150800" w:rsidRPr="00150800">
        <w:t xml:space="preserve">. Meanwhile, a legal challenge brought by business groups </w:t>
      </w:r>
      <w:r w:rsidR="00150800" w:rsidRPr="00F911E8">
        <w:t>failed</w:t>
      </w:r>
      <w:r w:rsidR="00150800" w:rsidRPr="00150800">
        <w:t xml:space="preserve"> before the Missouri Supreme Court, which upheld the </w:t>
      </w:r>
      <w:r w:rsidR="00F911E8">
        <w:t>PSL</w:t>
      </w:r>
      <w:r w:rsidR="00150800" w:rsidRPr="00150800">
        <w:t xml:space="preserve"> law in an opinion on April 29, 2025. The law took effect May 1, as scheduled.</w:t>
      </w:r>
    </w:p>
    <w:p w14:paraId="1C4E527F" w14:textId="77777777" w:rsidR="00112841" w:rsidRPr="00F72A72" w:rsidRDefault="00000000" w:rsidP="004E4B6D">
      <w:pPr>
        <w:pStyle w:val="BodyText"/>
      </w:pPr>
      <w:r w:rsidRPr="004443A9">
        <w:t>Work on the repeal bill continued in the Senate</w:t>
      </w:r>
      <w:r w:rsidR="003A504C">
        <w:t xml:space="preserve">. </w:t>
      </w:r>
      <w:r w:rsidR="00652616" w:rsidRPr="00652616">
        <w:t xml:space="preserve">On May 14, 2025, the Missouri General Assembly </w:t>
      </w:r>
      <w:r w:rsidR="00652616" w:rsidRPr="004F1F20">
        <w:t>voted</w:t>
      </w:r>
      <w:r w:rsidR="00652616" w:rsidRPr="00652616">
        <w:t xml:space="preserve"> to repeal the state’s earned </w:t>
      </w:r>
      <w:r w:rsidR="004F1F20">
        <w:t>PSL</w:t>
      </w:r>
      <w:r w:rsidR="00652616" w:rsidRPr="00652616">
        <w:t xml:space="preserve"> </w:t>
      </w:r>
      <w:r w:rsidR="00652616" w:rsidRPr="004F1F20">
        <w:t>law</w:t>
      </w:r>
      <w:r w:rsidR="00652616" w:rsidRPr="00652616">
        <w:t xml:space="preserve">. </w:t>
      </w:r>
      <w:r w:rsidR="004E55D8">
        <w:t>O</w:t>
      </w:r>
      <w:r w:rsidR="00F72A72" w:rsidRPr="00F72A72">
        <w:t xml:space="preserve">n July 10, 2025, Missouri Gov. Mike Kehoe signed </w:t>
      </w:r>
      <w:r w:rsidR="002A10E4">
        <w:t>the</w:t>
      </w:r>
      <w:r w:rsidR="00F72A72" w:rsidRPr="00F72A72">
        <w:t> </w:t>
      </w:r>
      <w:r w:rsidR="00F72A72" w:rsidRPr="00A04369">
        <w:rPr>
          <w:bCs/>
        </w:rPr>
        <w:t>repeal</w:t>
      </w:r>
      <w:r w:rsidR="00F72A72" w:rsidRPr="00F72A72">
        <w:t xml:space="preserve"> of the earned </w:t>
      </w:r>
      <w:r w:rsidR="00A04369">
        <w:t>PSL</w:t>
      </w:r>
      <w:r w:rsidR="00F72A72" w:rsidRPr="00F72A72">
        <w:t xml:space="preserve"> law, effective Aug. 28, 2025. Missouri employers are no longer required to provide </w:t>
      </w:r>
      <w:r w:rsidR="00DB132C">
        <w:t>PSL</w:t>
      </w:r>
      <w:r w:rsidR="00F72A72" w:rsidRPr="00F72A72">
        <w:t xml:space="preserve"> as of that date.</w:t>
      </w:r>
    </w:p>
    <w:p w14:paraId="03BFA649" w14:textId="77777777" w:rsidR="00520844" w:rsidRPr="000019AA" w:rsidRDefault="00000000" w:rsidP="00520844">
      <w:pPr>
        <w:pStyle w:val="SubHeader"/>
        <w:rPr>
          <w:highlight w:val="yellow"/>
        </w:rPr>
      </w:pPr>
      <w:r>
        <w:t>Expanded Reasons for Leave</w:t>
      </w:r>
    </w:p>
    <w:p w14:paraId="6A5AF152" w14:textId="77777777" w:rsidR="00510926" w:rsidRDefault="00000000" w:rsidP="00520844">
      <w:pPr>
        <w:pStyle w:val="BodyText"/>
      </w:pPr>
      <w:r>
        <w:t>States</w:t>
      </w:r>
      <w:r w:rsidR="007C4465">
        <w:t xml:space="preserve"> are</w:t>
      </w:r>
      <w:r>
        <w:t xml:space="preserve"> increasingly</w:t>
      </w:r>
      <w:r w:rsidR="007C4465">
        <w:t xml:space="preserve"> expanding the </w:t>
      </w:r>
      <w:r>
        <w:t>circumstances under which</w:t>
      </w:r>
      <w:r w:rsidR="007C4465">
        <w:t xml:space="preserve"> eligible </w:t>
      </w:r>
      <w:r w:rsidR="007F657A">
        <w:t xml:space="preserve">employees may take leave. </w:t>
      </w:r>
      <w:r w:rsidR="00C552DD">
        <w:t xml:space="preserve">Expanded reasons for leave include bereavement, </w:t>
      </w:r>
      <w:r w:rsidR="00656993">
        <w:t xml:space="preserve">miscarriage, </w:t>
      </w:r>
      <w:r w:rsidR="00C552DD">
        <w:t xml:space="preserve">prenatal health care, </w:t>
      </w:r>
      <w:r w:rsidR="007F5B35">
        <w:t>school activities</w:t>
      </w:r>
      <w:r w:rsidR="001C5669">
        <w:t xml:space="preserve">, </w:t>
      </w:r>
      <w:r w:rsidR="00066D58">
        <w:t>blood donation</w:t>
      </w:r>
      <w:r w:rsidR="00EA287F">
        <w:t>, public health/emergencies</w:t>
      </w:r>
      <w:r w:rsidR="001C5669">
        <w:t xml:space="preserve"> and </w:t>
      </w:r>
      <w:r w:rsidR="00490041" w:rsidRPr="00490041">
        <w:t>leave for parents with a child in a neonatal intensive care unit.</w:t>
      </w:r>
    </w:p>
    <w:p w14:paraId="3DE8B679" w14:textId="77777777" w:rsidR="00EC05DD" w:rsidRDefault="00000000" w:rsidP="00C552DD">
      <w:pPr>
        <w:pStyle w:val="BodyText"/>
      </w:pPr>
      <w:r>
        <w:t xml:space="preserve">Victim leave laws are </w:t>
      </w:r>
      <w:r w:rsidR="00C552DD">
        <w:t xml:space="preserve">also </w:t>
      </w:r>
      <w:r>
        <w:t xml:space="preserve">being expanded. For example, </w:t>
      </w:r>
      <w:r w:rsidR="00DE6306" w:rsidRPr="00DE6306">
        <w:t xml:space="preserve">Washington enacted </w:t>
      </w:r>
      <w:r w:rsidR="00DE6306" w:rsidRPr="00E92277">
        <w:t>Senate Bill (SB) 5101</w:t>
      </w:r>
      <w:r w:rsidR="00DE6306" w:rsidRPr="00DE6306">
        <w:t>, requiring employers to provide leave from work, safety accommodations and job protections for employees who are the victim of a hate crime or whose family member is a victim, effective Jan. 1, 2026.</w:t>
      </w:r>
      <w:r w:rsidR="00E473CA" w:rsidRPr="00E473CA">
        <w:rPr>
          <w:rFonts w:asciiTheme="minorHAnsi" w:eastAsiaTheme="minorHAnsi" w:hAnsiTheme="minorHAnsi" w:cstheme="minorBidi"/>
          <w:color w:val="auto"/>
          <w:szCs w:val="22"/>
        </w:rPr>
        <w:t xml:space="preserve"> </w:t>
      </w:r>
      <w:r w:rsidR="00E473CA" w:rsidRPr="00E473CA">
        <w:t>SB 5101 expands the job protections, accommodations and leave that Washington law affords victims of domestic violence, sexual assault and stalking to cover victims of hate crimes and their family members.</w:t>
      </w:r>
    </w:p>
    <w:p w14:paraId="23AD1813" w14:textId="77777777" w:rsidR="00EC05DD" w:rsidRDefault="00000000" w:rsidP="004E4B6D">
      <w:pPr>
        <w:pStyle w:val="BodyText"/>
      </w:pPr>
      <w:r>
        <w:t xml:space="preserve">States are also augmenting </w:t>
      </w:r>
      <w:r w:rsidR="00D2385B">
        <w:t xml:space="preserve">leave </w:t>
      </w:r>
      <w:r w:rsidR="00240A0D">
        <w:t>protections</w:t>
      </w:r>
      <w:r w:rsidR="00802134">
        <w:t xml:space="preserve"> related to </w:t>
      </w:r>
      <w:r w:rsidR="00BC1B95">
        <w:t xml:space="preserve">different types of </w:t>
      </w:r>
      <w:r w:rsidR="00D2385B">
        <w:t xml:space="preserve">service, such as </w:t>
      </w:r>
      <w:r w:rsidR="00B80936">
        <w:t xml:space="preserve">emergency responder and military </w:t>
      </w:r>
      <w:r w:rsidR="00BC1B95">
        <w:t xml:space="preserve">family </w:t>
      </w:r>
      <w:r w:rsidR="00B80936">
        <w:t xml:space="preserve">leave. For example, </w:t>
      </w:r>
      <w:r w:rsidR="00496416" w:rsidRPr="00496416">
        <w:t>effective Oct. 1, 2025, Montana employers may not terminate nonprobationary employees who serve as volunteer emergency services providers or have joined a volunteer emergency unit or organization (“emergency responders”) for lateness or absence due to an emergency response.</w:t>
      </w:r>
      <w:r w:rsidR="00C50107">
        <w:t xml:space="preserve"> As another example, </w:t>
      </w:r>
      <w:r w:rsidR="003849AE">
        <w:t>in New Ham</w:t>
      </w:r>
      <w:r w:rsidR="00874204">
        <w:t>pshire, e</w:t>
      </w:r>
      <w:r w:rsidR="00874204" w:rsidRPr="00874204">
        <w:t>ffective Jan. 1, 2026, employers with at least 50 employees at the same New Hampshire location must provide unpaid leave to spouses of military service members when the spouse is involuntarily mobilized for up to one year and one day in support of war, national emergencies or contingency operations.</w:t>
      </w:r>
    </w:p>
    <w:p w14:paraId="42815BC2" w14:textId="77777777" w:rsidR="00240A0D" w:rsidRPr="000019AA" w:rsidRDefault="00000000" w:rsidP="00240A0D">
      <w:pPr>
        <w:pStyle w:val="SubHeader"/>
        <w:rPr>
          <w:highlight w:val="yellow"/>
        </w:rPr>
      </w:pPr>
      <w:r>
        <w:t xml:space="preserve">Expanded </w:t>
      </w:r>
      <w:r w:rsidR="00B61D79">
        <w:t>Definitions of “Family Member”</w:t>
      </w:r>
    </w:p>
    <w:p w14:paraId="77A9E68F" w14:textId="77777777" w:rsidR="00EC05DD" w:rsidRDefault="00000000" w:rsidP="006B0238">
      <w:pPr>
        <w:pStyle w:val="BodyText"/>
      </w:pPr>
      <w:r>
        <w:t xml:space="preserve">States are expanding the definition of </w:t>
      </w:r>
      <w:r w:rsidR="009067BB">
        <w:t xml:space="preserve">a </w:t>
      </w:r>
      <w:r>
        <w:t xml:space="preserve">“family member” </w:t>
      </w:r>
      <w:r w:rsidR="006B0238">
        <w:t>to include individuals who are not in the employee’s immediate family</w:t>
      </w:r>
      <w:r w:rsidR="00E9735C">
        <w:t xml:space="preserve">. For example, </w:t>
      </w:r>
      <w:r w:rsidR="007F0115">
        <w:t xml:space="preserve">in California, </w:t>
      </w:r>
      <w:r w:rsidR="00463CC2">
        <w:t xml:space="preserve">employees may use PSL </w:t>
      </w:r>
      <w:r w:rsidR="00263261">
        <w:t xml:space="preserve">to care </w:t>
      </w:r>
      <w:r w:rsidR="00463CC2">
        <w:t xml:space="preserve">for their family members. </w:t>
      </w:r>
      <w:r w:rsidR="00C46CB9">
        <w:t xml:space="preserve">Under the California PSL statute, </w:t>
      </w:r>
      <w:r w:rsidR="00263261">
        <w:t>“</w:t>
      </w:r>
      <w:r w:rsidR="00C46CB9">
        <w:t>f</w:t>
      </w:r>
      <w:r w:rsidR="00263261">
        <w:t xml:space="preserve">amily member” includes (among other individuals) </w:t>
      </w:r>
      <w:r w:rsidR="00906868">
        <w:t xml:space="preserve">a </w:t>
      </w:r>
      <w:r w:rsidR="006B0238">
        <w:t xml:space="preserve">grandparent, </w:t>
      </w:r>
      <w:r w:rsidR="00906868">
        <w:t xml:space="preserve">a </w:t>
      </w:r>
      <w:r w:rsidR="006B0238">
        <w:t>grandchild</w:t>
      </w:r>
      <w:r w:rsidR="004050C8">
        <w:t xml:space="preserve">, </w:t>
      </w:r>
      <w:r w:rsidR="00906868">
        <w:t xml:space="preserve">a </w:t>
      </w:r>
      <w:r w:rsidR="006B0238">
        <w:t>sibling</w:t>
      </w:r>
      <w:r w:rsidR="004050C8">
        <w:t xml:space="preserve"> and </w:t>
      </w:r>
      <w:r w:rsidR="00906868">
        <w:t xml:space="preserve">a </w:t>
      </w:r>
      <w:r w:rsidR="006B0238">
        <w:t>designated person</w:t>
      </w:r>
      <w:r w:rsidR="004050C8">
        <w:t>.</w:t>
      </w:r>
      <w:r w:rsidR="00833424">
        <w:t xml:space="preserve"> “Designated person” is defined broadly </w:t>
      </w:r>
      <w:r w:rsidR="00087FFD">
        <w:t>to</w:t>
      </w:r>
      <w:r w:rsidR="00833424">
        <w:t xml:space="preserve"> include </w:t>
      </w:r>
      <w:r w:rsidR="00D34C1C" w:rsidRPr="00D34C1C">
        <w:t>a person identified by the employee at the time the employee requests paid sick days. An employer may limit an employee to one designated person per 12-month period for paid sick days.</w:t>
      </w:r>
    </w:p>
    <w:p w14:paraId="4BFEE7EC" w14:textId="77777777" w:rsidR="000A3773" w:rsidRDefault="00000000" w:rsidP="006B0238">
      <w:pPr>
        <w:pStyle w:val="BodyText"/>
      </w:pPr>
      <w:r>
        <w:lastRenderedPageBreak/>
        <w:t xml:space="preserve">Given California’s influence, employers in other states should be aware that </w:t>
      </w:r>
      <w:r w:rsidR="005802A2">
        <w:t xml:space="preserve">their states may choose to expand the list of </w:t>
      </w:r>
      <w:r w:rsidR="00287247">
        <w:t>individuals</w:t>
      </w:r>
      <w:r w:rsidR="005802A2">
        <w:t xml:space="preserve"> for who</w:t>
      </w:r>
      <w:r w:rsidR="00E42A42">
        <w:t>se care</w:t>
      </w:r>
      <w:r w:rsidR="005802A2">
        <w:t xml:space="preserve"> eligible employees may use leave</w:t>
      </w:r>
      <w:r w:rsidR="00287247">
        <w:t xml:space="preserve">. Such individuals </w:t>
      </w:r>
      <w:r w:rsidR="007D60B5">
        <w:t>may soon include a</w:t>
      </w:r>
      <w:r w:rsidR="00A179E0">
        <w:t>ny</w:t>
      </w:r>
      <w:r w:rsidR="007D60B5">
        <w:t xml:space="preserve"> person designated by an employee, such as a friend or neighbor.</w:t>
      </w:r>
    </w:p>
    <w:p w14:paraId="0D1418D6" w14:textId="77777777" w:rsidR="00A71312" w:rsidRPr="000019AA" w:rsidRDefault="00000000" w:rsidP="00A71312">
      <w:pPr>
        <w:pStyle w:val="SubHeader"/>
        <w:rPr>
          <w:highlight w:val="yellow"/>
        </w:rPr>
      </w:pPr>
      <w:r>
        <w:t xml:space="preserve">Redesigning </w:t>
      </w:r>
      <w:r w:rsidR="0083402C">
        <w:t xml:space="preserve">State PFML Laws to Work with </w:t>
      </w:r>
      <w:r w:rsidR="009A6BC8">
        <w:t>the</w:t>
      </w:r>
      <w:r w:rsidR="0083402C">
        <w:t xml:space="preserve"> FMLA</w:t>
      </w:r>
    </w:p>
    <w:p w14:paraId="570983E3" w14:textId="77777777" w:rsidR="005E605A" w:rsidRPr="005E605A" w:rsidRDefault="00000000" w:rsidP="005E605A">
      <w:pPr>
        <w:pStyle w:val="BodyText"/>
      </w:pPr>
      <w:r>
        <w:t xml:space="preserve">States are </w:t>
      </w:r>
      <w:r w:rsidR="00540DCB">
        <w:t>amending</w:t>
      </w:r>
      <w:r w:rsidR="00C54FAF">
        <w:t xml:space="preserve"> their PFML laws to work more smoothly with the federal FMLA.</w:t>
      </w:r>
      <w:r w:rsidR="005846AE">
        <w:t xml:space="preserve"> Washington provides a recent example. </w:t>
      </w:r>
      <w:r w:rsidR="002721A9" w:rsidRPr="002721A9">
        <w:t>Washington passed amendments to its PFML program</w:t>
      </w:r>
      <w:r w:rsidR="00567239">
        <w:t>,</w:t>
      </w:r>
      <w:r w:rsidR="00105EF1" w:rsidRPr="00105EF1">
        <w:t xml:space="preserve"> </w:t>
      </w:r>
      <w:r w:rsidR="00105EF1">
        <w:t>which</w:t>
      </w:r>
      <w:r w:rsidR="00105EF1" w:rsidRPr="00105EF1">
        <w:t xml:space="preserve"> take effect Jan. 1, 2026</w:t>
      </w:r>
      <w:r w:rsidR="002721A9" w:rsidRPr="002721A9">
        <w:t>. Notable changes reinforce the requirement that PFML run concurrently with leave under the FMLA</w:t>
      </w:r>
      <w:r w:rsidR="00105EF1">
        <w:t>.</w:t>
      </w:r>
      <w:r w:rsidRPr="005E605A">
        <w:t xml:space="preserve"> The current law already provides that PFML be used concurrently with FMLA leave. However, there is no mechanism for reducing PFML or employment protection when employees take FMLA leave before using PFML in the same year (a practice known as “stacking” leave).</w:t>
      </w:r>
    </w:p>
    <w:p w14:paraId="23157382" w14:textId="77777777" w:rsidR="005E605A" w:rsidRPr="005E605A" w:rsidRDefault="00000000" w:rsidP="005E605A">
      <w:pPr>
        <w:pStyle w:val="BodyText"/>
      </w:pPr>
      <w:r w:rsidRPr="005E605A">
        <w:t xml:space="preserve">The amendments allow </w:t>
      </w:r>
      <w:r w:rsidR="00104B87">
        <w:t xml:space="preserve">Washington </w:t>
      </w:r>
      <w:r w:rsidRPr="005E605A">
        <w:t>employers to count an employee’s FMLA leave against their job-protected PFML entitlement when the FMLA leave qualifies for PFML, even if the employee does not apply for or receive PFML. The amendments thus restrict an employee’s ability to preserve PFML for later use. These new provisions will apply only if the employer gives the employee written notice containing specific required information, including that the employee’s unpaid leave is being designated as FMLA leave and counted against the employee’s job-protected PFML maximum, among other things. The notice must be provided</w:t>
      </w:r>
      <w:r w:rsidR="00481013">
        <w:t xml:space="preserve"> w</w:t>
      </w:r>
      <w:r w:rsidRPr="005E605A">
        <w:t>ithin five business days of the employee requesting or using FMLA leave—whichever is earlier</w:t>
      </w:r>
      <w:r w:rsidR="00567239" w:rsidRPr="005E605A">
        <w:t>—</w:t>
      </w:r>
      <w:r w:rsidRPr="005E605A">
        <w:t>and</w:t>
      </w:r>
      <w:r w:rsidR="00481013">
        <w:t xml:space="preserve"> e</w:t>
      </w:r>
      <w:r w:rsidRPr="005E605A">
        <w:t xml:space="preserve">very month for the rest of the employee’s FMLA year. </w:t>
      </w:r>
    </w:p>
    <w:p w14:paraId="08FD061E" w14:textId="77777777" w:rsidR="00105EF1" w:rsidRDefault="00000000" w:rsidP="002721A9">
      <w:pPr>
        <w:pStyle w:val="BodyText"/>
      </w:pPr>
      <w:r>
        <w:t xml:space="preserve">As another example, </w:t>
      </w:r>
      <w:r w:rsidR="007323F2">
        <w:t xml:space="preserve">in Maryland, </w:t>
      </w:r>
      <w:r w:rsidR="00B127F5">
        <w:t>e</w:t>
      </w:r>
      <w:r w:rsidR="00B127F5" w:rsidRPr="00B127F5">
        <w:t xml:space="preserve">mployers with 15-49 employees must provide up to </w:t>
      </w:r>
      <w:r w:rsidR="00B127F5" w:rsidRPr="00B127F5">
        <w:rPr>
          <w:bCs/>
        </w:rPr>
        <w:t>six workweeks of unpaid</w:t>
      </w:r>
      <w:r w:rsidR="00B127F5" w:rsidRPr="00B127F5">
        <w:t xml:space="preserve"> parental leave to eligible employees for the birth of the employee’s child or the placement of a child with the employee for adoption or foster care. Effective Oct. 1, 2025, the requirement does not apply to employers who are covered by the FMLA for the current calendar year.</w:t>
      </w:r>
    </w:p>
    <w:p w14:paraId="6DE04FBD" w14:textId="77777777" w:rsidR="005C02BC" w:rsidRPr="000019AA" w:rsidRDefault="00000000" w:rsidP="005C02BC">
      <w:pPr>
        <w:pStyle w:val="SubHeader"/>
        <w:rPr>
          <w:highlight w:val="yellow"/>
        </w:rPr>
      </w:pPr>
      <w:r w:rsidRPr="004E4B6D">
        <w:t xml:space="preserve">Voluntary </w:t>
      </w:r>
      <w:r>
        <w:t>P</w:t>
      </w:r>
      <w:r w:rsidRPr="004E4B6D">
        <w:t xml:space="preserve">aid </w:t>
      </w:r>
      <w:r>
        <w:t>F</w:t>
      </w:r>
      <w:r w:rsidRPr="004E4B6D">
        <w:t xml:space="preserve">amily </w:t>
      </w:r>
      <w:r>
        <w:t>L</w:t>
      </w:r>
      <w:r w:rsidRPr="004E4B6D">
        <w:t xml:space="preserve">eave </w:t>
      </w:r>
      <w:r>
        <w:t>I</w:t>
      </w:r>
      <w:r w:rsidRPr="004E4B6D">
        <w:t xml:space="preserve">nsurance </w:t>
      </w:r>
      <w:r>
        <w:t>P</w:t>
      </w:r>
      <w:r w:rsidRPr="004E4B6D">
        <w:t>rograms</w:t>
      </w:r>
    </w:p>
    <w:p w14:paraId="515FF142" w14:textId="77777777" w:rsidR="00E74173" w:rsidRPr="00E74173" w:rsidRDefault="00000000" w:rsidP="00E74173">
      <w:pPr>
        <w:pStyle w:val="BodyText"/>
      </w:pPr>
      <w:r w:rsidRPr="00E74173">
        <w:t xml:space="preserve">A growing trend has seen states amending their insurance codes to allow carriers to sell insurance policies for voluntary paid family leave benefits. Under these laws, employers may purchase policies to provide a </w:t>
      </w:r>
      <w:r w:rsidR="00062A45" w:rsidRPr="00062A45">
        <w:t>paid family leave</w:t>
      </w:r>
      <w:r w:rsidRPr="00E74173">
        <w:t xml:space="preserve"> wage-replacement benefit to their employees. In some cases, employees can buy their own policy directly from the insurer. The state insurance laws allowing the policies set parameters that </w:t>
      </w:r>
      <w:r w:rsidR="00FB2F84" w:rsidRPr="00FB2F84">
        <w:t>paid family leave</w:t>
      </w:r>
      <w:r w:rsidRPr="00E74173">
        <w:t xml:space="preserve"> plans must meet to be eligible for insurance coverage. Unlike many mandatory state </w:t>
      </w:r>
      <w:r w:rsidR="00B44693" w:rsidRPr="00B44693">
        <w:t>PFML</w:t>
      </w:r>
      <w:r w:rsidRPr="00E74173">
        <w:t xml:space="preserve"> programs, the insurance laws do not require employers to provide job protection for employees on leave.</w:t>
      </w:r>
    </w:p>
    <w:p w14:paraId="68B74485" w14:textId="77777777" w:rsidR="00105EF1" w:rsidRDefault="00000000" w:rsidP="00E74173">
      <w:pPr>
        <w:pStyle w:val="BodyText"/>
      </w:pPr>
      <w:r w:rsidRPr="00E74173">
        <w:t>At a time when</w:t>
      </w:r>
      <w:r w:rsidR="0004017A">
        <w:t xml:space="preserve"> </w:t>
      </w:r>
      <w:r w:rsidRPr="00E74173">
        <w:t xml:space="preserve">states are </w:t>
      </w:r>
      <w:r w:rsidR="000C42EB">
        <w:t xml:space="preserve">increasingly </w:t>
      </w:r>
      <w:r w:rsidRPr="00E74173">
        <w:t xml:space="preserve">imposing paid employee leave mandates on employers, this approach offers a voluntary alternative for providing paid leave to employees caring for family members. </w:t>
      </w:r>
      <w:r w:rsidR="004279C6">
        <w:t>Many s</w:t>
      </w:r>
      <w:r w:rsidRPr="00E74173">
        <w:t xml:space="preserve">tate insurance laws for voluntary </w:t>
      </w:r>
      <w:r w:rsidR="004279C6" w:rsidRPr="004279C6">
        <w:t>paid family leave</w:t>
      </w:r>
      <w:r w:rsidRPr="00E74173">
        <w:t xml:space="preserve"> programs follow the same general format. </w:t>
      </w:r>
      <w:r w:rsidR="00A015B7">
        <w:t>M</w:t>
      </w:r>
      <w:r w:rsidRPr="00E74173">
        <w:t xml:space="preserve">ost of the laws allow employers to choose a carrier to provide </w:t>
      </w:r>
      <w:r w:rsidR="00A015B7" w:rsidRPr="00A015B7">
        <w:t>paid family leave</w:t>
      </w:r>
      <w:r w:rsidRPr="00E74173">
        <w:t xml:space="preserve"> coverage; however, in two states—Vermont and New Hampshire—the state selects the carrier and plays a larger role in the design of the insurance program. In addition, while most of the plans are limited to compensation for family leave, some offer the option of providing the benefit during the employee’s own medical leave as well.</w:t>
      </w:r>
    </w:p>
    <w:p w14:paraId="59CC9076" w14:textId="77777777" w:rsidR="00945338" w:rsidRPr="00945338" w:rsidRDefault="00000000" w:rsidP="00945338">
      <w:pPr>
        <w:pStyle w:val="BodyText"/>
      </w:pPr>
      <w:r>
        <w:t xml:space="preserve">Alabama’s </w:t>
      </w:r>
      <w:r w:rsidR="00306C80" w:rsidRPr="00790519">
        <w:t>Paid Family Leave Income Replacement Benefits Act</w:t>
      </w:r>
      <w:r w:rsidR="00306C80">
        <w:t xml:space="preserve"> provides </w:t>
      </w:r>
      <w:r w:rsidR="002273C6">
        <w:t xml:space="preserve">a detailed example. </w:t>
      </w:r>
      <w:r w:rsidR="002C0B5B">
        <w:t xml:space="preserve">Under the Alabama law, </w:t>
      </w:r>
      <w:r w:rsidR="00772281">
        <w:t>the type of policy is an e</w:t>
      </w:r>
      <w:r w:rsidR="00772281" w:rsidRPr="00772281">
        <w:t xml:space="preserve">mployer-sponsored group insurance policy or </w:t>
      </w:r>
      <w:r w:rsidR="00B925EB">
        <w:t xml:space="preserve">a </w:t>
      </w:r>
      <w:r w:rsidR="00772281" w:rsidRPr="00772281">
        <w:t>voluntarily purchased employee policy</w:t>
      </w:r>
      <w:r w:rsidR="00AF1DC3">
        <w:t xml:space="preserve"> (</w:t>
      </w:r>
      <w:r w:rsidR="00772281" w:rsidRPr="00772281">
        <w:t>written as a separate policy for paid family leave benefits or a rider to a disability insurance policy</w:t>
      </w:r>
      <w:r w:rsidR="00AF1DC3">
        <w:t>).</w:t>
      </w:r>
      <w:r w:rsidRPr="00945338">
        <w:t xml:space="preserve"> Benefits may be provided for any leave taken by an employee from work to do any of the following:</w:t>
      </w:r>
    </w:p>
    <w:p w14:paraId="17CED929" w14:textId="77777777" w:rsidR="00945338" w:rsidRDefault="00000000" w:rsidP="00790519">
      <w:pPr>
        <w:pStyle w:val="BodyText"/>
        <w:numPr>
          <w:ilvl w:val="0"/>
          <w:numId w:val="13"/>
        </w:numPr>
        <w:spacing w:after="0" w:line="240" w:lineRule="auto"/>
      </w:pPr>
      <w:r w:rsidRPr="00945338">
        <w:lastRenderedPageBreak/>
        <w:t xml:space="preserve">Care for a family member with a serious health condition; </w:t>
      </w:r>
    </w:p>
    <w:p w14:paraId="756DA8A6" w14:textId="77777777" w:rsidR="00FC7FE1" w:rsidRPr="00FC7FE1" w:rsidRDefault="00000000" w:rsidP="00790519">
      <w:pPr>
        <w:pStyle w:val="BodyText"/>
        <w:numPr>
          <w:ilvl w:val="0"/>
          <w:numId w:val="13"/>
        </w:numPr>
        <w:spacing w:after="0" w:line="240" w:lineRule="auto"/>
      </w:pPr>
      <w:r w:rsidRPr="00945338">
        <w:t>Bond with the employee’s child during the first 12 months after the child’s birth</w:t>
      </w:r>
      <w:r w:rsidRPr="00FC7FE1">
        <w:t xml:space="preserve"> or placement with the employee for adoption or foster care; or</w:t>
      </w:r>
    </w:p>
    <w:p w14:paraId="0AEBCF56" w14:textId="77777777" w:rsidR="001B5F17" w:rsidRDefault="00000000" w:rsidP="00FC7FE1">
      <w:pPr>
        <w:pStyle w:val="BodyText"/>
        <w:numPr>
          <w:ilvl w:val="0"/>
          <w:numId w:val="13"/>
        </w:numPr>
      </w:pPr>
      <w:r w:rsidRPr="00FC7FE1">
        <w:t>Address a qualifying military exigency as interpreted under the federal FMLA.</w:t>
      </w:r>
    </w:p>
    <w:p w14:paraId="137DC06E" w14:textId="77777777" w:rsidR="00946661" w:rsidRPr="00946661" w:rsidRDefault="00000000" w:rsidP="00946661">
      <w:pPr>
        <w:pStyle w:val="BodyText"/>
      </w:pPr>
      <w:r>
        <w:t>Under the Alabama law, t</w:t>
      </w:r>
      <w:r w:rsidR="009260FD">
        <w:t>he length of leave is a</w:t>
      </w:r>
      <w:r w:rsidR="009260FD" w:rsidRPr="009260FD">
        <w:t>t least two weeks for each covered reason</w:t>
      </w:r>
      <w:r w:rsidR="009260FD">
        <w:t xml:space="preserve">, </w:t>
      </w:r>
      <w:r w:rsidR="00261DBA">
        <w:t>and the monetary benefit is a</w:t>
      </w:r>
      <w:r w:rsidR="00261DBA" w:rsidRPr="00261DBA">
        <w:t>s detailed in</w:t>
      </w:r>
      <w:r w:rsidR="00261DBA">
        <w:t xml:space="preserve"> the</w:t>
      </w:r>
      <w:r w:rsidR="00261DBA" w:rsidRPr="00261DBA">
        <w:t xml:space="preserve"> insurance policy</w:t>
      </w:r>
      <w:r w:rsidR="00261DBA">
        <w:t>.</w:t>
      </w:r>
      <w:r w:rsidR="00C25A51">
        <w:t xml:space="preserve"> Additionally, </w:t>
      </w:r>
      <w:r w:rsidR="000F5EB6">
        <w:t>p</w:t>
      </w:r>
      <w:r w:rsidRPr="00946661">
        <w:t>olicies must specify:</w:t>
      </w:r>
    </w:p>
    <w:p w14:paraId="5A4BF98D" w14:textId="77777777" w:rsidR="00946661" w:rsidRPr="00946661" w:rsidRDefault="00000000" w:rsidP="00790519">
      <w:pPr>
        <w:pStyle w:val="BodyText"/>
        <w:numPr>
          <w:ilvl w:val="0"/>
          <w:numId w:val="13"/>
        </w:numPr>
        <w:spacing w:after="0" w:line="240" w:lineRule="auto"/>
      </w:pPr>
      <w:r w:rsidRPr="00946661">
        <w:t>Requirements of each covered family leave reason;</w:t>
      </w:r>
    </w:p>
    <w:p w14:paraId="2FB17BE7" w14:textId="77777777" w:rsidR="00946661" w:rsidRPr="00946661" w:rsidRDefault="00000000" w:rsidP="00790519">
      <w:pPr>
        <w:pStyle w:val="BodyText"/>
        <w:numPr>
          <w:ilvl w:val="0"/>
          <w:numId w:val="13"/>
        </w:numPr>
        <w:spacing w:after="0" w:line="240" w:lineRule="auto"/>
      </w:pPr>
      <w:r w:rsidRPr="00946661">
        <w:t>Amount of benefits for covered family leave reasons;</w:t>
      </w:r>
    </w:p>
    <w:p w14:paraId="46EB130D" w14:textId="77777777" w:rsidR="0061459E" w:rsidRDefault="00000000" w:rsidP="00790519">
      <w:pPr>
        <w:pStyle w:val="BodyText"/>
        <w:numPr>
          <w:ilvl w:val="0"/>
          <w:numId w:val="13"/>
        </w:numPr>
        <w:spacing w:after="0" w:line="240" w:lineRule="auto"/>
      </w:pPr>
      <w:r w:rsidRPr="00946661">
        <w:t xml:space="preserve">Terms of any unpaid waiting period; </w:t>
      </w:r>
    </w:p>
    <w:p w14:paraId="4346B429" w14:textId="77777777" w:rsidR="00737B9E" w:rsidRPr="00737B9E" w:rsidRDefault="00000000" w:rsidP="00790519">
      <w:pPr>
        <w:pStyle w:val="BodyText"/>
        <w:numPr>
          <w:ilvl w:val="0"/>
          <w:numId w:val="13"/>
        </w:numPr>
        <w:spacing w:after="0" w:line="240" w:lineRule="auto"/>
      </w:pPr>
      <w:r w:rsidRPr="00946661">
        <w:t>Definition and calculation of</w:t>
      </w:r>
      <w:r w:rsidRPr="00737B9E">
        <w:t xml:space="preserve"> income and offsets on which benefits are based; and</w:t>
      </w:r>
    </w:p>
    <w:p w14:paraId="0A7A6BF4" w14:textId="77777777" w:rsidR="00B5720D" w:rsidRDefault="00000000" w:rsidP="00737B9E">
      <w:pPr>
        <w:pStyle w:val="BodyText"/>
        <w:numPr>
          <w:ilvl w:val="0"/>
          <w:numId w:val="13"/>
        </w:numPr>
      </w:pPr>
      <w:r w:rsidRPr="00737B9E">
        <w:t>Any limitations, exclusions or reductions on benefits.</w:t>
      </w:r>
    </w:p>
    <w:p w14:paraId="158C2811" w14:textId="77777777" w:rsidR="00B5720D" w:rsidRDefault="00000000" w:rsidP="004E4B6D">
      <w:pPr>
        <w:pStyle w:val="BodyText"/>
      </w:pPr>
      <w:r>
        <w:t xml:space="preserve">Employers should check </w:t>
      </w:r>
      <w:r w:rsidR="00C516A9">
        <w:t xml:space="preserve">if their states allow for </w:t>
      </w:r>
      <w:r w:rsidRPr="00534A4D">
        <w:t>insurance policies for voluntary paid family leave benefits</w:t>
      </w:r>
      <w:r w:rsidR="0066136A">
        <w:t xml:space="preserve">. </w:t>
      </w:r>
      <w:r w:rsidR="003A3DFE">
        <w:t>Employers may wish to consult with their insurance carriers and state insurance departments for additional information</w:t>
      </w:r>
      <w:r w:rsidR="003410B4">
        <w:t>.</w:t>
      </w:r>
    </w:p>
    <w:p w14:paraId="3CE9BF09" w14:textId="77777777" w:rsidR="006E06E1" w:rsidRPr="000019AA" w:rsidRDefault="00000000" w:rsidP="006E06E1">
      <w:pPr>
        <w:pStyle w:val="SubHeader"/>
        <w:rPr>
          <w:highlight w:val="yellow"/>
        </w:rPr>
      </w:pPr>
      <w:r>
        <w:t>Federal Trends</w:t>
      </w:r>
    </w:p>
    <w:p w14:paraId="6E529236" w14:textId="77777777" w:rsidR="00A015B7" w:rsidRDefault="00000000" w:rsidP="006E06E1">
      <w:pPr>
        <w:pStyle w:val="BodyText"/>
      </w:pPr>
      <w:r w:rsidRPr="003449B4">
        <w:t>Activity on employee leave is much quieter at the federal level</w:t>
      </w:r>
      <w:r>
        <w:t xml:space="preserve"> than at the state level. </w:t>
      </w:r>
      <w:r w:rsidR="00CF73A9">
        <w:t>W</w:t>
      </w:r>
      <w:r w:rsidR="00D577E4" w:rsidRPr="00D577E4">
        <w:t>hile</w:t>
      </w:r>
      <w:bookmarkStart w:id="0" w:name="_Hlk206577886"/>
      <w:r w:rsidR="00D577E4" w:rsidRPr="00D577E4">
        <w:t xml:space="preserve"> </w:t>
      </w:r>
      <w:bookmarkEnd w:id="0"/>
      <w:r w:rsidR="00D577E4" w:rsidRPr="00D577E4">
        <w:t xml:space="preserve">2024 saw work in Congress toward a national paid leave program, </w:t>
      </w:r>
      <w:r w:rsidR="00905119">
        <w:t xml:space="preserve">time will tell </w:t>
      </w:r>
      <w:r w:rsidR="00D577E4" w:rsidRPr="00D577E4">
        <w:t xml:space="preserve">whether the Trump administration will </w:t>
      </w:r>
      <w:r w:rsidR="00905119">
        <w:t xml:space="preserve">work toward </w:t>
      </w:r>
      <w:r w:rsidR="00D577E4" w:rsidRPr="00D577E4">
        <w:t>a national paid leave effort</w:t>
      </w:r>
      <w:r w:rsidR="00905119">
        <w:t>.</w:t>
      </w:r>
    </w:p>
    <w:p w14:paraId="70C00891" w14:textId="77777777" w:rsidR="00C67E71" w:rsidRDefault="00000000" w:rsidP="004E4B6D">
      <w:pPr>
        <w:pStyle w:val="BodyText"/>
      </w:pPr>
      <w:r>
        <w:t>However, e</w:t>
      </w:r>
      <w:r w:rsidR="00317864" w:rsidRPr="00317864">
        <w:t xml:space="preserve">mployers should be aware that federal courts are increasingly ruling that </w:t>
      </w:r>
      <w:r w:rsidR="00134974" w:rsidRPr="00134974">
        <w:t>USERRA</w:t>
      </w:r>
      <w:r w:rsidR="00317864" w:rsidRPr="00317864">
        <w:t xml:space="preserve"> requires employers to provide paid leave for military service if they compensate employees for comparable leaves. </w:t>
      </w:r>
      <w:r w:rsidR="00722E42">
        <w:t xml:space="preserve">As background, </w:t>
      </w:r>
      <w:r w:rsidR="005F1D4B" w:rsidRPr="005F1D4B">
        <w:t xml:space="preserve">USERRA provides job protections for employees absent from work for military service. </w:t>
      </w:r>
      <w:r w:rsidR="00E505EB" w:rsidRPr="00E505EB">
        <w:t>USERRA states that while on leave for military service, employees are entitled to other rights and benefits not determined by seniority that the employer generally provides to employees having similar seniority, status and pay who are on furlough or leave of absence. The statute defines “rights and benefits” to include wages or salary for work performed.</w:t>
      </w:r>
    </w:p>
    <w:p w14:paraId="121592B2" w14:textId="77777777" w:rsidR="00EA6872" w:rsidRDefault="00000000" w:rsidP="00166EC9">
      <w:pPr>
        <w:pStyle w:val="BodyText"/>
      </w:pPr>
      <w:r w:rsidRPr="00166EC9">
        <w:t xml:space="preserve">Regulations issued by the U.S. Department of Labor to implement USERRA raise the issue of comparability of leaves, stating that if the benefits protected by the statute vary according to the type of leave, the employee must be given the most favorable treatment accorded to any comparable form of leave. </w:t>
      </w:r>
      <w:r w:rsidR="00A14670">
        <w:t xml:space="preserve">As noted, </w:t>
      </w:r>
      <w:r w:rsidR="00A14670" w:rsidRPr="00A14670">
        <w:t>federal courts are ruling that USERRA requires employers to provide paid leave for military service if they compensate employees for comparable leaves</w:t>
      </w:r>
      <w:r w:rsidR="00A14670">
        <w:t>.</w:t>
      </w:r>
    </w:p>
    <w:p w14:paraId="60A97F6B" w14:textId="77777777" w:rsidR="00176100" w:rsidRPr="00176100" w:rsidRDefault="00000000" w:rsidP="00176100">
      <w:pPr>
        <w:pStyle w:val="BodyText"/>
      </w:pPr>
      <w:r>
        <w:t>For example, i</w:t>
      </w:r>
      <w:r w:rsidRPr="00176100">
        <w:t xml:space="preserve">n </w:t>
      </w:r>
      <w:r w:rsidRPr="00176100">
        <w:rPr>
          <w:i/>
          <w:iCs/>
        </w:rPr>
        <w:t>Clarkson v. Alaska Airlines</w:t>
      </w:r>
      <w:r w:rsidRPr="00176100">
        <w:t xml:space="preserve">, the </w:t>
      </w:r>
      <w:r w:rsidR="007E5241">
        <w:t xml:space="preserve">9th </w:t>
      </w:r>
      <w:r w:rsidRPr="00176100">
        <w:t xml:space="preserve">Circuit focused on the comparability of military with nonmilitary leaves under USERRA. Clarkson, a pilot with Alaska Airlines and a military reservist, filed a class action lawsuit against the airline on behalf of himself and all other pilots who had been denied payment for short-term military leaves of 30 days or less. Clarkson argued that because the airline provided paid jury duty, bereavement and sick leave, USERRA required it to provide paid leave for short-term absences for military service as well. The lower court granted summary judgment for the airline after comparing the duration of all military leaves with the duration of the nonmilitary leaves provided by the employer. Because military leaves can last for years, the court found that no reasonable jury could conclude they were comparable </w:t>
      </w:r>
      <w:r w:rsidR="00067042">
        <w:t>to</w:t>
      </w:r>
      <w:r w:rsidR="00067042" w:rsidRPr="00176100">
        <w:t xml:space="preserve"> </w:t>
      </w:r>
      <w:r w:rsidRPr="00176100">
        <w:t>the other leaves.</w:t>
      </w:r>
    </w:p>
    <w:p w14:paraId="618A1405" w14:textId="77777777" w:rsidR="00451C48" w:rsidRDefault="00000000" w:rsidP="00176100">
      <w:pPr>
        <w:pStyle w:val="BodyText"/>
      </w:pPr>
      <w:r>
        <w:t>T</w:t>
      </w:r>
      <w:r w:rsidR="00176100" w:rsidRPr="00176100">
        <w:t xml:space="preserve">he </w:t>
      </w:r>
      <w:r w:rsidR="00067042">
        <w:t>9th</w:t>
      </w:r>
      <w:r w:rsidR="00176100" w:rsidRPr="00176100">
        <w:t xml:space="preserve"> Circuit reversed, holding that</w:t>
      </w:r>
      <w:r w:rsidR="007A5246">
        <w:t>,</w:t>
      </w:r>
      <w:r w:rsidR="00176100" w:rsidRPr="00176100">
        <w:t xml:space="preserve"> under USERRA</w:t>
      </w:r>
      <w:r w:rsidR="00E0001A">
        <w:t>,</w:t>
      </w:r>
      <w:r w:rsidR="00176100" w:rsidRPr="00176100">
        <w:t xml:space="preserve"> the employer’s nonmilitary leaves must be compared </w:t>
      </w:r>
      <w:r w:rsidR="00067042">
        <w:t>to only short-term military leaves, not</w:t>
      </w:r>
      <w:r w:rsidR="00176100" w:rsidRPr="00176100">
        <w:t xml:space="preserve"> all military leaves. The appeals court also found that the lower court erred in comparing the frequency of military with nonmilitary leaves and in its comparisons of the purpose of the military versus nonmilitary </w:t>
      </w:r>
      <w:r w:rsidR="00176100" w:rsidRPr="00176100">
        <w:lastRenderedPageBreak/>
        <w:t xml:space="preserve">leaves and employees’ ability to control the leaves. The </w:t>
      </w:r>
      <w:r w:rsidR="001125D8">
        <w:t>9th</w:t>
      </w:r>
      <w:r w:rsidR="001125D8" w:rsidRPr="00176100">
        <w:t xml:space="preserve"> </w:t>
      </w:r>
      <w:r w:rsidR="00176100" w:rsidRPr="00176100">
        <w:t xml:space="preserve">Circuit remanded the case for adjudication on the issue of whether short-term military leaves are comparable </w:t>
      </w:r>
      <w:r w:rsidR="001125D8">
        <w:t>to</w:t>
      </w:r>
      <w:r w:rsidR="001125D8" w:rsidRPr="00176100">
        <w:t xml:space="preserve"> </w:t>
      </w:r>
      <w:r w:rsidR="00176100" w:rsidRPr="00176100">
        <w:t>other paid leaves provided by the employer.</w:t>
      </w:r>
      <w:r>
        <w:t xml:space="preserve"> </w:t>
      </w:r>
      <w:r w:rsidR="00176100" w:rsidRPr="00176100">
        <w:t xml:space="preserve">Employers must comply with the </w:t>
      </w:r>
      <w:r w:rsidR="00176100" w:rsidRPr="00176100">
        <w:rPr>
          <w:i/>
          <w:iCs/>
        </w:rPr>
        <w:t>Clarkson</w:t>
      </w:r>
      <w:r w:rsidR="00176100" w:rsidRPr="00176100">
        <w:t xml:space="preserve"> decision if they are in the </w:t>
      </w:r>
      <w:r w:rsidR="001125D8">
        <w:t>9th</w:t>
      </w:r>
      <w:r w:rsidR="001125D8" w:rsidRPr="00176100">
        <w:t xml:space="preserve"> </w:t>
      </w:r>
      <w:r w:rsidR="00176100" w:rsidRPr="00176100">
        <w:t>Circuit, covering Alaska, Arizona, California, Guam, Hawaii, Idaho, Montana, Nevada, Northern Mariana Islands, Oregon and Washington.</w:t>
      </w:r>
    </w:p>
    <w:p w14:paraId="092EF017" w14:textId="77777777" w:rsidR="001B5F17" w:rsidRDefault="00000000" w:rsidP="004E4B6D">
      <w:pPr>
        <w:pStyle w:val="BodyText"/>
      </w:pPr>
      <w:r w:rsidRPr="00317864">
        <w:t>There could be more court decisions in this vein in</w:t>
      </w:r>
      <w:r w:rsidR="000C6B5B">
        <w:t xml:space="preserve"> </w:t>
      </w:r>
      <w:r w:rsidR="00066915">
        <w:t>the future</w:t>
      </w:r>
      <w:r w:rsidRPr="00317864">
        <w:t>, so employers should be alert to past and future court activity on this topic in their jurisdiction</w:t>
      </w:r>
      <w:r w:rsidR="0019619A">
        <w:t>s</w:t>
      </w:r>
      <w:r w:rsidRPr="00317864">
        <w:t>.</w:t>
      </w:r>
    </w:p>
    <w:p w14:paraId="68BD67E3" w14:textId="77777777" w:rsidR="008A3888" w:rsidRPr="000019AA" w:rsidRDefault="00000000" w:rsidP="008A3888">
      <w:pPr>
        <w:pStyle w:val="SubHeader"/>
        <w:rPr>
          <w:highlight w:val="yellow"/>
        </w:rPr>
      </w:pPr>
      <w:r>
        <w:t>Conclusion</w:t>
      </w:r>
    </w:p>
    <w:p w14:paraId="45475EE2" w14:textId="77777777" w:rsidR="00110482" w:rsidRDefault="00000000" w:rsidP="008A3888">
      <w:pPr>
        <w:pStyle w:val="BodyText"/>
      </w:pPr>
      <w:r w:rsidRPr="00FE2C36">
        <w:t>Expansion is the prevailing theme</w:t>
      </w:r>
      <w:r w:rsidR="00B674B8" w:rsidRPr="00B674B8">
        <w:t>.</w:t>
      </w:r>
      <w:r w:rsidR="00B674B8">
        <w:t xml:space="preserve"> As states continue to expand existing leave laws and implement new ones, employers must be sure to stay on top of </w:t>
      </w:r>
      <w:r w:rsidR="0012676D">
        <w:t xml:space="preserve">their legal obligations. For example, </w:t>
      </w:r>
      <w:r w:rsidR="00821229">
        <w:t xml:space="preserve">employers should be aware of </w:t>
      </w:r>
      <w:r w:rsidR="003A29DB">
        <w:t xml:space="preserve">new laws going into effect and changes to existing laws that may </w:t>
      </w:r>
      <w:r w:rsidR="00740B84">
        <w:t>affect</w:t>
      </w:r>
      <w:r w:rsidR="003A29DB">
        <w:t xml:space="preserve"> </w:t>
      </w:r>
      <w:r w:rsidR="00AA6FBC">
        <w:t xml:space="preserve">their </w:t>
      </w:r>
      <w:r w:rsidR="003A29DB">
        <w:t xml:space="preserve">businesses. </w:t>
      </w:r>
      <w:r w:rsidR="00E405B0" w:rsidRPr="00E405B0">
        <w:t xml:space="preserve">In addition to monitoring known state law developments, employers should watch for the passage of new employee leave legislation and amendments to existing laws. There is no reason to think the growth in employee leave mandates will abate in </w:t>
      </w:r>
      <w:r w:rsidR="00404BB7">
        <w:t>the future</w:t>
      </w:r>
      <w:r w:rsidR="00E405B0" w:rsidRPr="00E405B0">
        <w:t>, especially in states that currently do not have employee leave laws on the books.</w:t>
      </w:r>
      <w:r w:rsidR="00EC753A">
        <w:t xml:space="preserve"> W</w:t>
      </w:r>
      <w:r w:rsidR="00483EC9" w:rsidRPr="00483EC9">
        <w:t xml:space="preserve">ith voters having approved state ballot measures </w:t>
      </w:r>
      <w:r w:rsidR="00C112C1">
        <w:t>impacting the workplace</w:t>
      </w:r>
      <w:r w:rsidR="00483EC9" w:rsidRPr="00483EC9">
        <w:t>, it stands to reason that other states could follow suit.</w:t>
      </w:r>
    </w:p>
    <w:p w14:paraId="5E0FE1C3" w14:textId="77777777" w:rsidR="00110482" w:rsidRDefault="00000000" w:rsidP="004E4B6D">
      <w:pPr>
        <w:pStyle w:val="BodyText"/>
      </w:pPr>
      <w:r>
        <w:t xml:space="preserve">Employers should also watch for other trends, such as </w:t>
      </w:r>
      <w:r w:rsidR="009A737C" w:rsidRPr="009A737C">
        <w:t>the growth of state insurance laws allowing carriers to sell PFML policies to employers.</w:t>
      </w:r>
      <w:r>
        <w:t xml:space="preserve"> </w:t>
      </w:r>
      <w:r w:rsidR="00060399" w:rsidRPr="00060399">
        <w:t>On the federal level,</w:t>
      </w:r>
      <w:r w:rsidR="00AF34E7">
        <w:t xml:space="preserve"> employers should </w:t>
      </w:r>
      <w:r w:rsidR="004F31D5">
        <w:t>monitor any trends that develop, such as</w:t>
      </w:r>
      <w:r w:rsidR="00060399" w:rsidRPr="00060399">
        <w:t xml:space="preserve"> federal courts</w:t>
      </w:r>
      <w:r w:rsidR="004F31D5">
        <w:t xml:space="preserve">’ ruling </w:t>
      </w:r>
      <w:r w:rsidR="00060399" w:rsidRPr="00060399">
        <w:t xml:space="preserve">that USERRA requires employers to provide paid leave for military service if they compensate employees for comparable leaves. </w:t>
      </w:r>
      <w:r w:rsidR="00FE516E">
        <w:t>As noted above, t</w:t>
      </w:r>
      <w:r w:rsidR="00060399" w:rsidRPr="00060399">
        <w:t>here could be more court decisions in this vein</w:t>
      </w:r>
      <w:r w:rsidR="00B12BA2">
        <w:t>.</w:t>
      </w:r>
    </w:p>
    <w:p w14:paraId="2254D1A1" w14:textId="77777777" w:rsidR="004E4B6D" w:rsidRPr="007F3C38" w:rsidRDefault="00000000" w:rsidP="00C84C66">
      <w:pPr>
        <w:pStyle w:val="BodyText"/>
        <w:rPr>
          <w:highlight w:val="yellow"/>
        </w:rPr>
      </w:pPr>
      <w:r w:rsidRPr="0059550D">
        <w:t xml:space="preserve">Employers will need to watch legislative and regulatory developments closely. This is likely to be particularly challenging for multistate employers, which will have to take note of features that </w:t>
      </w:r>
      <w:r w:rsidR="00130FD1">
        <w:t>may be</w:t>
      </w:r>
      <w:r w:rsidRPr="0059550D">
        <w:t xml:space="preserve"> common to these laws, yet </w:t>
      </w:r>
      <w:r w:rsidR="00130FD1">
        <w:t xml:space="preserve">may </w:t>
      </w:r>
      <w:r w:rsidRPr="0059550D">
        <w:t xml:space="preserve">conflict across states. Leave law characteristics to keep in mind in this regard </w:t>
      </w:r>
      <w:r w:rsidR="00130FD1">
        <w:t xml:space="preserve">may </w:t>
      </w:r>
      <w:r w:rsidRPr="0059550D">
        <w:t xml:space="preserve">include </w:t>
      </w:r>
      <w:r w:rsidRPr="00C4390B">
        <w:t>exempt versus covered employers and employees, discounted leave requirements for small or newly established employers, the availability of grants to help offset the cost of leave, the funding split between employers and employees, and whether the law at issue requires reinstatement of an employee to their former position upon returning from leave</w:t>
      </w:r>
      <w:r w:rsidRPr="0059550D">
        <w:t>.</w:t>
      </w:r>
      <w:r w:rsidR="007F3C38">
        <w:t xml:space="preserve"> It is always best for employers to work with local counsel to ensure they comply with all laws that may apply </w:t>
      </w:r>
      <w:r w:rsidR="0037645B">
        <w:t xml:space="preserve">to </w:t>
      </w:r>
      <w:r w:rsidR="007F3C38">
        <w:t>their businesses.</w:t>
      </w:r>
    </w:p>
    <w:sectPr w:rsidR="004E4B6D" w:rsidRPr="007F3C38" w:rsidSect="00C84C66">
      <w:headerReference w:type="default" r:id="rId17"/>
      <w:footerReference w:type="default" r:id="rId18"/>
      <w:pgSz w:w="12240" w:h="15840"/>
      <w:pgMar w:top="1800" w:right="720" w:bottom="18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2798" w14:textId="77777777" w:rsidR="00B7710E" w:rsidRDefault="00B7710E">
      <w:pPr>
        <w:spacing w:after="0" w:line="240" w:lineRule="auto"/>
      </w:pPr>
      <w:r>
        <w:separator/>
      </w:r>
    </w:p>
  </w:endnote>
  <w:endnote w:type="continuationSeparator" w:id="0">
    <w:p w14:paraId="15F22C17" w14:textId="77777777" w:rsidR="00B7710E" w:rsidRDefault="00B77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DC7B" w14:textId="77777777" w:rsidR="0098636D" w:rsidRDefault="00000000">
    <w:pPr>
      <w:pStyle w:val="Footer"/>
    </w:pPr>
    <w:r>
      <w:rPr>
        <w:noProof/>
      </w:rPr>
      <mc:AlternateContent>
        <mc:Choice Requires="wps">
          <w:drawing>
            <wp:anchor distT="0" distB="0" distL="114300" distR="114300" simplePos="0" relativeHeight="251657216" behindDoc="0" locked="0" layoutInCell="1" allowOverlap="1" wp14:anchorId="34F08AD9" wp14:editId="0B0B651A">
              <wp:simplePos x="0" y="0"/>
              <wp:positionH relativeFrom="margin">
                <wp:posOffset>0</wp:posOffset>
              </wp:positionH>
              <wp:positionV relativeFrom="margin">
                <wp:posOffset>5975536</wp:posOffset>
              </wp:positionV>
              <wp:extent cx="6849035" cy="8965"/>
              <wp:effectExtent l="19050" t="19050" r="9525" b="29210"/>
              <wp:wrapNone/>
              <wp:docPr id="5" name="Straight Connector 5"/>
              <wp:cNvGraphicFramePr/>
              <a:graphic xmlns:a="http://schemas.openxmlformats.org/drawingml/2006/main">
                <a:graphicData uri="http://schemas.microsoft.com/office/word/2010/wordprocessingShape">
                  <wps:wsp>
                    <wps:cNvCnPr/>
                    <wps:spPr>
                      <a:xfrm flipH="1" flipV="1">
                        <a:off x="0" y="0"/>
                        <a:ext cx="6849035" cy="8965"/>
                      </a:xfrm>
                      <a:prstGeom prst="line">
                        <a:avLst/>
                      </a:prstGeom>
                      <a:ln w="44450">
                        <a:solidFill>
                          <a:srgbClr val="6F61B0">
                            <a:alpha val="75000"/>
                          </a:srgb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2049" style="flip:x y;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z-index:251660288" from="0,470.5pt" to="539.3pt,471.2pt" strokecolor="#6f61b0" strokeweight="3.5pt">
              <v:stroke joinstyle="miter" opacity="49087f"/>
              <w10:wrap anchorx="margin" anchory="margin"/>
            </v:line>
          </w:pict>
        </mc:Fallback>
      </mc:AlternateContent>
    </w:r>
    <w:r>
      <w:rPr>
        <w:noProof/>
      </w:rPr>
      <w:drawing>
        <wp:anchor distT="0" distB="0" distL="114300" distR="114300" simplePos="0" relativeHeight="251656192" behindDoc="1" locked="0" layoutInCell="1" allowOverlap="1" wp14:anchorId="4F3247BF" wp14:editId="56F75828">
          <wp:simplePos x="0" y="0"/>
          <wp:positionH relativeFrom="page">
            <wp:posOffset>0</wp:posOffset>
          </wp:positionH>
          <wp:positionV relativeFrom="paragraph">
            <wp:posOffset>1492575</wp:posOffset>
          </wp:positionV>
          <wp:extent cx="7772400" cy="63093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99777"/>
      <w:docPartObj>
        <w:docPartGallery w:val="Page Numbers (Bottom of Page)"/>
        <w:docPartUnique/>
      </w:docPartObj>
    </w:sdtPr>
    <w:sdtEndPr>
      <w:rPr>
        <w:noProof/>
      </w:rPr>
    </w:sdtEndPr>
    <w:sdtContent>
      <w:p w14:paraId="07B7CDB4" w14:textId="77777777" w:rsidR="00A95ADA" w:rsidRDefault="00000000">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15B3587" w14:textId="77777777" w:rsidR="00E6115F" w:rsidRDefault="00E61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8B8EF" w14:textId="77777777" w:rsidR="00B7710E" w:rsidRDefault="00B7710E">
      <w:pPr>
        <w:spacing w:after="0" w:line="240" w:lineRule="auto"/>
      </w:pPr>
      <w:r>
        <w:separator/>
      </w:r>
    </w:p>
  </w:footnote>
  <w:footnote w:type="continuationSeparator" w:id="0">
    <w:p w14:paraId="536BD340" w14:textId="77777777" w:rsidR="00B7710E" w:rsidRDefault="00B77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1B4A" w14:textId="77777777" w:rsidR="0098636D" w:rsidRDefault="00000000">
    <w:pPr>
      <w:pStyle w:val="Header"/>
    </w:pPr>
    <w:r>
      <w:rPr>
        <w:noProof/>
      </w:rPr>
      <w:drawing>
        <wp:anchor distT="0" distB="0" distL="114300" distR="114300" simplePos="0" relativeHeight="251655168" behindDoc="1" locked="0" layoutInCell="1" allowOverlap="1" wp14:anchorId="51D1E350" wp14:editId="7C0A5F22">
          <wp:simplePos x="0" y="0"/>
          <wp:positionH relativeFrom="page">
            <wp:align>right</wp:align>
          </wp:positionH>
          <wp:positionV relativeFrom="page">
            <wp:posOffset>-20955</wp:posOffset>
          </wp:positionV>
          <wp:extent cx="7772397" cy="3851929"/>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eg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397" cy="38519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4BD8" w14:textId="77777777" w:rsidR="00A357CD" w:rsidRDefault="00000000">
    <w:pPr>
      <w:pStyle w:val="Header"/>
    </w:pPr>
    <w:r>
      <w:rPr>
        <w:noProof/>
      </w:rPr>
      <w:drawing>
        <wp:anchor distT="0" distB="0" distL="114300" distR="114300" simplePos="0" relativeHeight="251658240" behindDoc="1" locked="0" layoutInCell="1" allowOverlap="1" wp14:anchorId="69FDD457" wp14:editId="49C7F754">
          <wp:simplePos x="0" y="0"/>
          <wp:positionH relativeFrom="page">
            <wp:posOffset>14032</wp:posOffset>
          </wp:positionH>
          <wp:positionV relativeFrom="paragraph">
            <wp:posOffset>-457200</wp:posOffset>
          </wp:positionV>
          <wp:extent cx="7753504" cy="1636395"/>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g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53504" cy="1636395"/>
                  </a:xfrm>
                  <a:prstGeom prst="rect">
                    <a:avLst/>
                  </a:prstGeom>
                </pic:spPr>
              </pic:pic>
            </a:graphicData>
          </a:graphic>
          <wp14:sizeRelH relativeFrom="page">
            <wp14:pctWidth>0</wp14:pctWidth>
          </wp14:sizeRelH>
          <wp14:sizeRelV relativeFrom="page">
            <wp14:pctHeight>0</wp14:pctHeight>
          </wp14:sizeRelV>
        </wp:anchor>
      </w:drawing>
    </w:r>
    <w:r w:rsidR="00A95ADA">
      <w:rPr>
        <w:noProof/>
      </w:rPr>
      <mc:AlternateContent>
        <mc:Choice Requires="wps">
          <w:drawing>
            <wp:anchor distT="0" distB="0" distL="114300" distR="114300" simplePos="0" relativeHeight="251660288" behindDoc="0" locked="0" layoutInCell="1" allowOverlap="1" wp14:anchorId="176836AC" wp14:editId="14062035">
              <wp:simplePos x="0" y="0"/>
              <wp:positionH relativeFrom="margin">
                <wp:posOffset>0</wp:posOffset>
              </wp:positionH>
              <wp:positionV relativeFrom="margin">
                <wp:posOffset>7751618</wp:posOffset>
              </wp:positionV>
              <wp:extent cx="6848475" cy="8890"/>
              <wp:effectExtent l="19050" t="19050" r="9525" b="29210"/>
              <wp:wrapNone/>
              <wp:docPr id="4" name="Straight Connector 4"/>
              <wp:cNvGraphicFramePr/>
              <a:graphic xmlns:a="http://schemas.openxmlformats.org/drawingml/2006/main">
                <a:graphicData uri="http://schemas.microsoft.com/office/word/2010/wordprocessingShape">
                  <wps:wsp>
                    <wps:cNvCnPr/>
                    <wps:spPr>
                      <a:xfrm flipH="1" flipV="1">
                        <a:off x="0" y="0"/>
                        <a:ext cx="6848475" cy="8890"/>
                      </a:xfrm>
                      <a:prstGeom prst="line">
                        <a:avLst/>
                      </a:prstGeom>
                      <a:ln w="44450">
                        <a:solidFill>
                          <a:srgbClr val="6F61B0">
                            <a:alpha val="75000"/>
                          </a:srgb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2050" style="flip:x y;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z-index:251663360" from="0,610.35pt" to="539.25pt,611.05pt" strokecolor="#6f61b0" strokeweight="3.5pt">
              <v:stroke joinstyle="miter" opacity="49087f"/>
              <w10:wrap anchorx="margin" anchory="margin"/>
            </v:line>
          </w:pict>
        </mc:Fallback>
      </mc:AlternateContent>
    </w:r>
    <w:r w:rsidR="00A95ADA">
      <w:rPr>
        <w:noProof/>
      </w:rPr>
      <mc:AlternateContent>
        <mc:Choice Requires="wps">
          <w:drawing>
            <wp:anchor distT="0" distB="0" distL="114300" distR="114300" simplePos="0" relativeHeight="251659264" behindDoc="0" locked="0" layoutInCell="1" allowOverlap="1" wp14:anchorId="4A0E3BD0" wp14:editId="1F197AFF">
              <wp:simplePos x="0" y="0"/>
              <wp:positionH relativeFrom="margin">
                <wp:posOffset>-55418</wp:posOffset>
              </wp:positionH>
              <wp:positionV relativeFrom="paragraph">
                <wp:posOffset>8679873</wp:posOffset>
              </wp:positionV>
              <wp:extent cx="5984875" cy="556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984875" cy="556260"/>
                      </a:xfrm>
                      <a:prstGeom prst="rect">
                        <a:avLst/>
                      </a:prstGeom>
                      <a:noFill/>
                      <a:ln w="6350">
                        <a:noFill/>
                      </a:ln>
                      <a:effectLst/>
                    </wps:spPr>
                    <wps:txbx>
                      <w:txbxContent>
                        <w:p w14:paraId="4E437B61" w14:textId="77777777" w:rsidR="00EC1229" w:rsidRPr="00817EEE" w:rsidRDefault="00000000" w:rsidP="00EC1229">
                          <w:pPr>
                            <w:pStyle w:val="Disclaimer"/>
                          </w:pPr>
                          <w:r w:rsidRPr="00947E11">
                            <w:rPr>
                              <w:szCs w:val="16"/>
                            </w:rPr>
                            <w:t xml:space="preserve">This </w:t>
                          </w:r>
                          <w:r>
                            <w:rPr>
                              <w:szCs w:val="16"/>
                            </w:rPr>
                            <w:t>Compliance Overview</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Pr="00817EEE">
                            <w:t>©</w:t>
                          </w:r>
                          <w:r w:rsidR="00881E33">
                            <w:t>202</w:t>
                          </w:r>
                          <w:r w:rsidR="009C091E">
                            <w:t>5</w:t>
                          </w:r>
                          <w:r>
                            <w:t xml:space="preserve"> </w:t>
                          </w:r>
                          <w:r w:rsidRPr="00817EEE">
                            <w:t>Zywave, Inc.</w:t>
                          </w:r>
                          <w:r>
                            <w:t xml:space="preserve"> </w:t>
                          </w:r>
                          <w:r w:rsidRPr="00817EEE">
                            <w:t>All rights reserved.</w:t>
                          </w:r>
                        </w:p>
                        <w:p w14:paraId="0DE11FB8" w14:textId="77777777" w:rsidR="00EC1229" w:rsidRPr="00947E11" w:rsidRDefault="00EC1229" w:rsidP="00EC1229">
                          <w:pPr>
                            <w:pStyle w:val="Disclaimer"/>
                            <w:rPr>
                              <w:szCs w:val="16"/>
                            </w:rPr>
                          </w:pPr>
                        </w:p>
                        <w:p w14:paraId="108A8367" w14:textId="77777777" w:rsidR="00E6115F" w:rsidRPr="00947E11" w:rsidRDefault="00E6115F" w:rsidP="008F7B15">
                          <w:pPr>
                            <w:pStyle w:val="Disclaimer"/>
                            <w:rPr>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2051" type="#_x0000_t202" style="width:471.25pt;height:43.8pt;margin-top:683.45pt;margin-left:-4.35pt;mso-height-percent:0;mso-height-relative:margin;mso-position-horizontal-relative:margin;mso-width-percent:0;mso-width-relative:margin;mso-wrap-distance-bottom:0;mso-wrap-distance-left:9pt;mso-wrap-distance-right:9pt;mso-wrap-distance-top:0;mso-wrap-style:square;position:absolute;v-text-anchor:top;visibility:visible;z-index:251661312" filled="f" stroked="f" strokeweight="0.5pt">
              <v:textbox>
                <w:txbxContent>
                  <w:p w:rsidR="00EC1229" w:rsidRPr="00817EEE" w:rsidP="00EC1229" w14:paraId="1AEF0EF8" w14:textId="41FA4D6C">
                    <w:pPr>
                      <w:pStyle w:val="Disclaimer"/>
                    </w:pPr>
                    <w:r w:rsidRPr="00947E11">
                      <w:rPr>
                        <w:szCs w:val="16"/>
                      </w:rPr>
                      <w:t xml:space="preserve">This </w:t>
                    </w:r>
                    <w:r>
                      <w:rPr>
                        <w:szCs w:val="16"/>
                      </w:rPr>
                      <w:t>Compliance Overview</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Pr="00817EEE">
                      <w:t>©</w:t>
                    </w:r>
                    <w:r w:rsidR="00881E33">
                      <w:t>202</w:t>
                    </w:r>
                    <w:r w:rsidR="009C091E">
                      <w:t>5</w:t>
                    </w:r>
                    <w:r>
                      <w:t xml:space="preserve"> </w:t>
                    </w:r>
                    <w:r w:rsidRPr="00817EEE">
                      <w:t>Zywave, Inc.</w:t>
                    </w:r>
                    <w:r>
                      <w:t xml:space="preserve"> </w:t>
                    </w:r>
                    <w:r w:rsidRPr="00817EEE">
                      <w:t>All rights reserved.</w:t>
                    </w:r>
                  </w:p>
                  <w:p w:rsidR="00EC1229" w:rsidRPr="00947E11" w:rsidP="00EC1229" w14:paraId="601DFB49" w14:textId="77777777">
                    <w:pPr>
                      <w:pStyle w:val="Disclaimer"/>
                      <w:rPr>
                        <w:szCs w:val="16"/>
                      </w:rPr>
                    </w:pPr>
                  </w:p>
                  <w:p w:rsidR="00E6115F" w:rsidRPr="00947E11" w:rsidP="008F7B15" w14:paraId="793E0C63" w14:textId="77777777">
                    <w:pPr>
                      <w:pStyle w:val="Disclaimer"/>
                      <w:rPr>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5063"/>
    <w:multiLevelType w:val="hybridMultilevel"/>
    <w:tmpl w:val="4F7E20F2"/>
    <w:lvl w:ilvl="0" w:tplc="3B0A6EC4">
      <w:start w:val="1"/>
      <w:numFmt w:val="bullet"/>
      <w:lvlText w:val=""/>
      <w:lvlJc w:val="left"/>
      <w:pPr>
        <w:ind w:left="547" w:hanging="360"/>
      </w:pPr>
      <w:rPr>
        <w:rFonts w:ascii="Symbol" w:hAnsi="Symbol" w:hint="default"/>
        <w:color w:val="6F61B0"/>
      </w:rPr>
    </w:lvl>
    <w:lvl w:ilvl="1" w:tplc="E6BC522A">
      <w:start w:val="1"/>
      <w:numFmt w:val="bullet"/>
      <w:lvlText w:val="o"/>
      <w:lvlJc w:val="left"/>
      <w:pPr>
        <w:ind w:left="1440" w:hanging="360"/>
      </w:pPr>
      <w:rPr>
        <w:rFonts w:ascii="Courier New" w:hAnsi="Courier New" w:cs="Courier New" w:hint="default"/>
      </w:rPr>
    </w:lvl>
    <w:lvl w:ilvl="2" w:tplc="956A7A30" w:tentative="1">
      <w:start w:val="1"/>
      <w:numFmt w:val="bullet"/>
      <w:lvlText w:val=""/>
      <w:lvlJc w:val="left"/>
      <w:pPr>
        <w:ind w:left="2160" w:hanging="360"/>
      </w:pPr>
      <w:rPr>
        <w:rFonts w:ascii="Wingdings" w:hAnsi="Wingdings" w:hint="default"/>
      </w:rPr>
    </w:lvl>
    <w:lvl w:ilvl="3" w:tplc="0276A082" w:tentative="1">
      <w:start w:val="1"/>
      <w:numFmt w:val="bullet"/>
      <w:lvlText w:val=""/>
      <w:lvlJc w:val="left"/>
      <w:pPr>
        <w:ind w:left="2880" w:hanging="360"/>
      </w:pPr>
      <w:rPr>
        <w:rFonts w:ascii="Symbol" w:hAnsi="Symbol" w:hint="default"/>
      </w:rPr>
    </w:lvl>
    <w:lvl w:ilvl="4" w:tplc="3BCC896C" w:tentative="1">
      <w:start w:val="1"/>
      <w:numFmt w:val="bullet"/>
      <w:lvlText w:val="o"/>
      <w:lvlJc w:val="left"/>
      <w:pPr>
        <w:ind w:left="3600" w:hanging="360"/>
      </w:pPr>
      <w:rPr>
        <w:rFonts w:ascii="Courier New" w:hAnsi="Courier New" w:cs="Courier New" w:hint="default"/>
      </w:rPr>
    </w:lvl>
    <w:lvl w:ilvl="5" w:tplc="72C2F2A0" w:tentative="1">
      <w:start w:val="1"/>
      <w:numFmt w:val="bullet"/>
      <w:lvlText w:val=""/>
      <w:lvlJc w:val="left"/>
      <w:pPr>
        <w:ind w:left="4320" w:hanging="360"/>
      </w:pPr>
      <w:rPr>
        <w:rFonts w:ascii="Wingdings" w:hAnsi="Wingdings" w:hint="default"/>
      </w:rPr>
    </w:lvl>
    <w:lvl w:ilvl="6" w:tplc="7F86B0DE" w:tentative="1">
      <w:start w:val="1"/>
      <w:numFmt w:val="bullet"/>
      <w:lvlText w:val=""/>
      <w:lvlJc w:val="left"/>
      <w:pPr>
        <w:ind w:left="5040" w:hanging="360"/>
      </w:pPr>
      <w:rPr>
        <w:rFonts w:ascii="Symbol" w:hAnsi="Symbol" w:hint="default"/>
      </w:rPr>
    </w:lvl>
    <w:lvl w:ilvl="7" w:tplc="A23EB9F4" w:tentative="1">
      <w:start w:val="1"/>
      <w:numFmt w:val="bullet"/>
      <w:lvlText w:val="o"/>
      <w:lvlJc w:val="left"/>
      <w:pPr>
        <w:ind w:left="5760" w:hanging="360"/>
      </w:pPr>
      <w:rPr>
        <w:rFonts w:ascii="Courier New" w:hAnsi="Courier New" w:cs="Courier New" w:hint="default"/>
      </w:rPr>
    </w:lvl>
    <w:lvl w:ilvl="8" w:tplc="633419CA" w:tentative="1">
      <w:start w:val="1"/>
      <w:numFmt w:val="bullet"/>
      <w:lvlText w:val=""/>
      <w:lvlJc w:val="left"/>
      <w:pPr>
        <w:ind w:left="6480" w:hanging="360"/>
      </w:pPr>
      <w:rPr>
        <w:rFonts w:ascii="Wingdings" w:hAnsi="Wingdings" w:hint="default"/>
      </w:rPr>
    </w:lvl>
  </w:abstractNum>
  <w:abstractNum w:abstractNumId="1" w15:restartNumberingAfterBreak="0">
    <w:nsid w:val="1552176E"/>
    <w:multiLevelType w:val="multilevel"/>
    <w:tmpl w:val="B13CDD56"/>
    <w:numStyleLink w:val="BulletedList"/>
  </w:abstractNum>
  <w:abstractNum w:abstractNumId="2" w15:restartNumberingAfterBreak="0">
    <w:nsid w:val="1A270686"/>
    <w:multiLevelType w:val="hybridMultilevel"/>
    <w:tmpl w:val="F25C5F20"/>
    <w:lvl w:ilvl="0" w:tplc="525C2E6E">
      <w:start w:val="1"/>
      <w:numFmt w:val="bullet"/>
      <w:pStyle w:val="Checkbox"/>
      <w:lvlText w:val=""/>
      <w:lvlJc w:val="left"/>
      <w:pPr>
        <w:ind w:left="360" w:hanging="360"/>
      </w:pPr>
      <w:rPr>
        <w:rFonts w:ascii="Wingdings" w:hAnsi="Wingdings" w:hint="default"/>
        <w:color w:val="5083C9"/>
        <w:sz w:val="28"/>
      </w:rPr>
    </w:lvl>
    <w:lvl w:ilvl="1" w:tplc="A412E0EE">
      <w:start w:val="1"/>
      <w:numFmt w:val="bullet"/>
      <w:lvlText w:val="o"/>
      <w:lvlJc w:val="left"/>
      <w:pPr>
        <w:ind w:left="6974" w:hanging="360"/>
      </w:pPr>
      <w:rPr>
        <w:rFonts w:ascii="Courier New" w:hAnsi="Courier New" w:cs="Courier New" w:hint="default"/>
      </w:rPr>
    </w:lvl>
    <w:lvl w:ilvl="2" w:tplc="BC349824" w:tentative="1">
      <w:start w:val="1"/>
      <w:numFmt w:val="bullet"/>
      <w:lvlText w:val=""/>
      <w:lvlJc w:val="left"/>
      <w:pPr>
        <w:ind w:left="7694" w:hanging="360"/>
      </w:pPr>
      <w:rPr>
        <w:rFonts w:ascii="Wingdings" w:hAnsi="Wingdings" w:hint="default"/>
      </w:rPr>
    </w:lvl>
    <w:lvl w:ilvl="3" w:tplc="0888AAC0" w:tentative="1">
      <w:start w:val="1"/>
      <w:numFmt w:val="bullet"/>
      <w:lvlText w:val=""/>
      <w:lvlJc w:val="left"/>
      <w:pPr>
        <w:ind w:left="8414" w:hanging="360"/>
      </w:pPr>
      <w:rPr>
        <w:rFonts w:ascii="Symbol" w:hAnsi="Symbol" w:hint="default"/>
      </w:rPr>
    </w:lvl>
    <w:lvl w:ilvl="4" w:tplc="06322394" w:tentative="1">
      <w:start w:val="1"/>
      <w:numFmt w:val="bullet"/>
      <w:lvlText w:val="o"/>
      <w:lvlJc w:val="left"/>
      <w:pPr>
        <w:ind w:left="9134" w:hanging="360"/>
      </w:pPr>
      <w:rPr>
        <w:rFonts w:ascii="Courier New" w:hAnsi="Courier New" w:cs="Courier New" w:hint="default"/>
      </w:rPr>
    </w:lvl>
    <w:lvl w:ilvl="5" w:tplc="3208CE24" w:tentative="1">
      <w:start w:val="1"/>
      <w:numFmt w:val="bullet"/>
      <w:lvlText w:val=""/>
      <w:lvlJc w:val="left"/>
      <w:pPr>
        <w:ind w:left="9854" w:hanging="360"/>
      </w:pPr>
      <w:rPr>
        <w:rFonts w:ascii="Wingdings" w:hAnsi="Wingdings" w:hint="default"/>
      </w:rPr>
    </w:lvl>
    <w:lvl w:ilvl="6" w:tplc="DE3664FE" w:tentative="1">
      <w:start w:val="1"/>
      <w:numFmt w:val="bullet"/>
      <w:lvlText w:val=""/>
      <w:lvlJc w:val="left"/>
      <w:pPr>
        <w:ind w:left="10574" w:hanging="360"/>
      </w:pPr>
      <w:rPr>
        <w:rFonts w:ascii="Symbol" w:hAnsi="Symbol" w:hint="default"/>
      </w:rPr>
    </w:lvl>
    <w:lvl w:ilvl="7" w:tplc="C668302A" w:tentative="1">
      <w:start w:val="1"/>
      <w:numFmt w:val="bullet"/>
      <w:lvlText w:val="o"/>
      <w:lvlJc w:val="left"/>
      <w:pPr>
        <w:ind w:left="11294" w:hanging="360"/>
      </w:pPr>
      <w:rPr>
        <w:rFonts w:ascii="Courier New" w:hAnsi="Courier New" w:cs="Courier New" w:hint="default"/>
      </w:rPr>
    </w:lvl>
    <w:lvl w:ilvl="8" w:tplc="03F63DAC" w:tentative="1">
      <w:start w:val="1"/>
      <w:numFmt w:val="bullet"/>
      <w:lvlText w:val=""/>
      <w:lvlJc w:val="left"/>
      <w:pPr>
        <w:ind w:left="12014" w:hanging="360"/>
      </w:pPr>
      <w:rPr>
        <w:rFonts w:ascii="Wingdings" w:hAnsi="Wingdings" w:hint="default"/>
      </w:rPr>
    </w:lvl>
  </w:abstractNum>
  <w:abstractNum w:abstractNumId="3" w15:restartNumberingAfterBreak="0">
    <w:nsid w:val="2D0856F2"/>
    <w:multiLevelType w:val="hybridMultilevel"/>
    <w:tmpl w:val="992CA5A8"/>
    <w:lvl w:ilvl="0" w:tplc="E1400BE0">
      <w:start w:val="1"/>
      <w:numFmt w:val="bullet"/>
      <w:lvlText w:val=""/>
      <w:lvlJc w:val="left"/>
      <w:pPr>
        <w:ind w:left="765" w:hanging="360"/>
      </w:pPr>
      <w:rPr>
        <w:rFonts w:ascii="Symbol" w:hAnsi="Symbol" w:hint="default"/>
      </w:rPr>
    </w:lvl>
    <w:lvl w:ilvl="1" w:tplc="0E5E9972" w:tentative="1">
      <w:start w:val="1"/>
      <w:numFmt w:val="bullet"/>
      <w:lvlText w:val="o"/>
      <w:lvlJc w:val="left"/>
      <w:pPr>
        <w:ind w:left="1485" w:hanging="360"/>
      </w:pPr>
      <w:rPr>
        <w:rFonts w:ascii="Courier New" w:hAnsi="Courier New" w:cs="Courier New" w:hint="default"/>
      </w:rPr>
    </w:lvl>
    <w:lvl w:ilvl="2" w:tplc="415A6EAE" w:tentative="1">
      <w:start w:val="1"/>
      <w:numFmt w:val="bullet"/>
      <w:lvlText w:val=""/>
      <w:lvlJc w:val="left"/>
      <w:pPr>
        <w:ind w:left="2205" w:hanging="360"/>
      </w:pPr>
      <w:rPr>
        <w:rFonts w:ascii="Wingdings" w:hAnsi="Wingdings" w:hint="default"/>
      </w:rPr>
    </w:lvl>
    <w:lvl w:ilvl="3" w:tplc="624EC0F6" w:tentative="1">
      <w:start w:val="1"/>
      <w:numFmt w:val="bullet"/>
      <w:lvlText w:val=""/>
      <w:lvlJc w:val="left"/>
      <w:pPr>
        <w:ind w:left="2925" w:hanging="360"/>
      </w:pPr>
      <w:rPr>
        <w:rFonts w:ascii="Symbol" w:hAnsi="Symbol" w:hint="default"/>
      </w:rPr>
    </w:lvl>
    <w:lvl w:ilvl="4" w:tplc="410A8E64" w:tentative="1">
      <w:start w:val="1"/>
      <w:numFmt w:val="bullet"/>
      <w:lvlText w:val="o"/>
      <w:lvlJc w:val="left"/>
      <w:pPr>
        <w:ind w:left="3645" w:hanging="360"/>
      </w:pPr>
      <w:rPr>
        <w:rFonts w:ascii="Courier New" w:hAnsi="Courier New" w:cs="Courier New" w:hint="default"/>
      </w:rPr>
    </w:lvl>
    <w:lvl w:ilvl="5" w:tplc="1046B708" w:tentative="1">
      <w:start w:val="1"/>
      <w:numFmt w:val="bullet"/>
      <w:lvlText w:val=""/>
      <w:lvlJc w:val="left"/>
      <w:pPr>
        <w:ind w:left="4365" w:hanging="360"/>
      </w:pPr>
      <w:rPr>
        <w:rFonts w:ascii="Wingdings" w:hAnsi="Wingdings" w:hint="default"/>
      </w:rPr>
    </w:lvl>
    <w:lvl w:ilvl="6" w:tplc="6686A89C" w:tentative="1">
      <w:start w:val="1"/>
      <w:numFmt w:val="bullet"/>
      <w:lvlText w:val=""/>
      <w:lvlJc w:val="left"/>
      <w:pPr>
        <w:ind w:left="5085" w:hanging="360"/>
      </w:pPr>
      <w:rPr>
        <w:rFonts w:ascii="Symbol" w:hAnsi="Symbol" w:hint="default"/>
      </w:rPr>
    </w:lvl>
    <w:lvl w:ilvl="7" w:tplc="18B2C30A" w:tentative="1">
      <w:start w:val="1"/>
      <w:numFmt w:val="bullet"/>
      <w:lvlText w:val="o"/>
      <w:lvlJc w:val="left"/>
      <w:pPr>
        <w:ind w:left="5805" w:hanging="360"/>
      </w:pPr>
      <w:rPr>
        <w:rFonts w:ascii="Courier New" w:hAnsi="Courier New" w:cs="Courier New" w:hint="default"/>
      </w:rPr>
    </w:lvl>
    <w:lvl w:ilvl="8" w:tplc="CBF050CC" w:tentative="1">
      <w:start w:val="1"/>
      <w:numFmt w:val="bullet"/>
      <w:lvlText w:val=""/>
      <w:lvlJc w:val="left"/>
      <w:pPr>
        <w:ind w:left="6525" w:hanging="360"/>
      </w:pPr>
      <w:rPr>
        <w:rFonts w:ascii="Wingdings" w:hAnsi="Wingdings" w:hint="default"/>
      </w:rPr>
    </w:lvl>
  </w:abstractNum>
  <w:abstractNum w:abstractNumId="4" w15:restartNumberingAfterBreak="0">
    <w:nsid w:val="2FC0055B"/>
    <w:multiLevelType w:val="hybridMultilevel"/>
    <w:tmpl w:val="54EEC526"/>
    <w:lvl w:ilvl="0" w:tplc="5F0E2FBA">
      <w:start w:val="1"/>
      <w:numFmt w:val="bullet"/>
      <w:lvlText w:val=""/>
      <w:lvlJc w:val="left"/>
      <w:pPr>
        <w:ind w:left="720" w:hanging="360"/>
      </w:pPr>
      <w:rPr>
        <w:rFonts w:ascii="Symbol" w:hAnsi="Symbol" w:hint="default"/>
      </w:rPr>
    </w:lvl>
    <w:lvl w:ilvl="1" w:tplc="56847E62" w:tentative="1">
      <w:start w:val="1"/>
      <w:numFmt w:val="bullet"/>
      <w:lvlText w:val="o"/>
      <w:lvlJc w:val="left"/>
      <w:pPr>
        <w:ind w:left="1440" w:hanging="360"/>
      </w:pPr>
      <w:rPr>
        <w:rFonts w:ascii="Courier New" w:hAnsi="Courier New" w:cs="Courier New" w:hint="default"/>
      </w:rPr>
    </w:lvl>
    <w:lvl w:ilvl="2" w:tplc="E3B88EC4" w:tentative="1">
      <w:start w:val="1"/>
      <w:numFmt w:val="bullet"/>
      <w:lvlText w:val=""/>
      <w:lvlJc w:val="left"/>
      <w:pPr>
        <w:ind w:left="2160" w:hanging="360"/>
      </w:pPr>
      <w:rPr>
        <w:rFonts w:ascii="Wingdings" w:hAnsi="Wingdings" w:hint="default"/>
      </w:rPr>
    </w:lvl>
    <w:lvl w:ilvl="3" w:tplc="74704B2E" w:tentative="1">
      <w:start w:val="1"/>
      <w:numFmt w:val="bullet"/>
      <w:lvlText w:val=""/>
      <w:lvlJc w:val="left"/>
      <w:pPr>
        <w:ind w:left="2880" w:hanging="360"/>
      </w:pPr>
      <w:rPr>
        <w:rFonts w:ascii="Symbol" w:hAnsi="Symbol" w:hint="default"/>
      </w:rPr>
    </w:lvl>
    <w:lvl w:ilvl="4" w:tplc="8C9A5BB6" w:tentative="1">
      <w:start w:val="1"/>
      <w:numFmt w:val="bullet"/>
      <w:lvlText w:val="o"/>
      <w:lvlJc w:val="left"/>
      <w:pPr>
        <w:ind w:left="3600" w:hanging="360"/>
      </w:pPr>
      <w:rPr>
        <w:rFonts w:ascii="Courier New" w:hAnsi="Courier New" w:cs="Courier New" w:hint="default"/>
      </w:rPr>
    </w:lvl>
    <w:lvl w:ilvl="5" w:tplc="AE824D86" w:tentative="1">
      <w:start w:val="1"/>
      <w:numFmt w:val="bullet"/>
      <w:lvlText w:val=""/>
      <w:lvlJc w:val="left"/>
      <w:pPr>
        <w:ind w:left="4320" w:hanging="360"/>
      </w:pPr>
      <w:rPr>
        <w:rFonts w:ascii="Wingdings" w:hAnsi="Wingdings" w:hint="default"/>
      </w:rPr>
    </w:lvl>
    <w:lvl w:ilvl="6" w:tplc="699AC6AC" w:tentative="1">
      <w:start w:val="1"/>
      <w:numFmt w:val="bullet"/>
      <w:lvlText w:val=""/>
      <w:lvlJc w:val="left"/>
      <w:pPr>
        <w:ind w:left="5040" w:hanging="360"/>
      </w:pPr>
      <w:rPr>
        <w:rFonts w:ascii="Symbol" w:hAnsi="Symbol" w:hint="default"/>
      </w:rPr>
    </w:lvl>
    <w:lvl w:ilvl="7" w:tplc="520604C6" w:tentative="1">
      <w:start w:val="1"/>
      <w:numFmt w:val="bullet"/>
      <w:lvlText w:val="o"/>
      <w:lvlJc w:val="left"/>
      <w:pPr>
        <w:ind w:left="5760" w:hanging="360"/>
      </w:pPr>
      <w:rPr>
        <w:rFonts w:ascii="Courier New" w:hAnsi="Courier New" w:cs="Courier New" w:hint="default"/>
      </w:rPr>
    </w:lvl>
    <w:lvl w:ilvl="8" w:tplc="8F7ADBBA" w:tentative="1">
      <w:start w:val="1"/>
      <w:numFmt w:val="bullet"/>
      <w:lvlText w:val=""/>
      <w:lvlJc w:val="left"/>
      <w:pPr>
        <w:ind w:left="6480" w:hanging="360"/>
      </w:pPr>
      <w:rPr>
        <w:rFonts w:ascii="Wingdings" w:hAnsi="Wingdings" w:hint="default"/>
      </w:rPr>
    </w:lvl>
  </w:abstractNum>
  <w:abstractNum w:abstractNumId="5" w15:restartNumberingAfterBreak="0">
    <w:nsid w:val="43E32AF5"/>
    <w:multiLevelType w:val="multilevel"/>
    <w:tmpl w:val="B13CDD56"/>
    <w:styleLink w:val="BulletedList"/>
    <w:lvl w:ilvl="0">
      <w:start w:val="1"/>
      <w:numFmt w:val="bullet"/>
      <w:lvlText w:val=""/>
      <w:lvlJc w:val="left"/>
      <w:pPr>
        <w:ind w:left="360" w:hanging="360"/>
      </w:pPr>
      <w:rPr>
        <w:rFonts w:ascii="Symbol" w:hAnsi="Symbol" w:hint="default"/>
        <w:color w:val="6F61B0"/>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C8601A1"/>
    <w:multiLevelType w:val="hybridMultilevel"/>
    <w:tmpl w:val="43CE94D6"/>
    <w:lvl w:ilvl="0" w:tplc="F1CCE902">
      <w:start w:val="1"/>
      <w:numFmt w:val="bullet"/>
      <w:lvlText w:val=""/>
      <w:lvlJc w:val="left"/>
      <w:pPr>
        <w:ind w:left="720" w:hanging="360"/>
      </w:pPr>
      <w:rPr>
        <w:rFonts w:ascii="Symbol" w:hAnsi="Symbol" w:hint="default"/>
      </w:rPr>
    </w:lvl>
    <w:lvl w:ilvl="1" w:tplc="8FF06E4E">
      <w:start w:val="1"/>
      <w:numFmt w:val="bullet"/>
      <w:lvlText w:val="o"/>
      <w:lvlJc w:val="left"/>
      <w:pPr>
        <w:ind w:left="1440" w:hanging="360"/>
      </w:pPr>
      <w:rPr>
        <w:rFonts w:ascii="Courier New" w:hAnsi="Courier New" w:hint="default"/>
      </w:rPr>
    </w:lvl>
    <w:lvl w:ilvl="2" w:tplc="3BE8C398" w:tentative="1">
      <w:start w:val="1"/>
      <w:numFmt w:val="bullet"/>
      <w:lvlText w:val=""/>
      <w:lvlJc w:val="left"/>
      <w:pPr>
        <w:ind w:left="2160" w:hanging="360"/>
      </w:pPr>
      <w:rPr>
        <w:rFonts w:ascii="Wingdings" w:hAnsi="Wingdings" w:hint="default"/>
      </w:rPr>
    </w:lvl>
    <w:lvl w:ilvl="3" w:tplc="248A4434" w:tentative="1">
      <w:start w:val="1"/>
      <w:numFmt w:val="bullet"/>
      <w:lvlText w:val=""/>
      <w:lvlJc w:val="left"/>
      <w:pPr>
        <w:ind w:left="2880" w:hanging="360"/>
      </w:pPr>
      <w:rPr>
        <w:rFonts w:ascii="Symbol" w:hAnsi="Symbol" w:hint="default"/>
      </w:rPr>
    </w:lvl>
    <w:lvl w:ilvl="4" w:tplc="1592FA40" w:tentative="1">
      <w:start w:val="1"/>
      <w:numFmt w:val="bullet"/>
      <w:lvlText w:val="o"/>
      <w:lvlJc w:val="left"/>
      <w:pPr>
        <w:ind w:left="3600" w:hanging="360"/>
      </w:pPr>
      <w:rPr>
        <w:rFonts w:ascii="Courier New" w:hAnsi="Courier New" w:cs="Courier New" w:hint="default"/>
      </w:rPr>
    </w:lvl>
    <w:lvl w:ilvl="5" w:tplc="EBCC88B2" w:tentative="1">
      <w:start w:val="1"/>
      <w:numFmt w:val="bullet"/>
      <w:lvlText w:val=""/>
      <w:lvlJc w:val="left"/>
      <w:pPr>
        <w:ind w:left="4320" w:hanging="360"/>
      </w:pPr>
      <w:rPr>
        <w:rFonts w:ascii="Wingdings" w:hAnsi="Wingdings" w:hint="default"/>
      </w:rPr>
    </w:lvl>
    <w:lvl w:ilvl="6" w:tplc="9228B496" w:tentative="1">
      <w:start w:val="1"/>
      <w:numFmt w:val="bullet"/>
      <w:lvlText w:val=""/>
      <w:lvlJc w:val="left"/>
      <w:pPr>
        <w:ind w:left="5040" w:hanging="360"/>
      </w:pPr>
      <w:rPr>
        <w:rFonts w:ascii="Symbol" w:hAnsi="Symbol" w:hint="default"/>
      </w:rPr>
    </w:lvl>
    <w:lvl w:ilvl="7" w:tplc="530EB024" w:tentative="1">
      <w:start w:val="1"/>
      <w:numFmt w:val="bullet"/>
      <w:lvlText w:val="o"/>
      <w:lvlJc w:val="left"/>
      <w:pPr>
        <w:ind w:left="5760" w:hanging="360"/>
      </w:pPr>
      <w:rPr>
        <w:rFonts w:ascii="Courier New" w:hAnsi="Courier New" w:cs="Courier New" w:hint="default"/>
      </w:rPr>
    </w:lvl>
    <w:lvl w:ilvl="8" w:tplc="C2EA24E6" w:tentative="1">
      <w:start w:val="1"/>
      <w:numFmt w:val="bullet"/>
      <w:lvlText w:val=""/>
      <w:lvlJc w:val="left"/>
      <w:pPr>
        <w:ind w:left="6480" w:hanging="360"/>
      </w:pPr>
      <w:rPr>
        <w:rFonts w:ascii="Wingdings" w:hAnsi="Wingdings" w:hint="default"/>
      </w:rPr>
    </w:lvl>
  </w:abstractNum>
  <w:abstractNum w:abstractNumId="7" w15:restartNumberingAfterBreak="0">
    <w:nsid w:val="4DE51692"/>
    <w:multiLevelType w:val="multilevel"/>
    <w:tmpl w:val="B13CDD56"/>
    <w:numStyleLink w:val="BulletedList"/>
  </w:abstractNum>
  <w:abstractNum w:abstractNumId="8" w15:restartNumberingAfterBreak="0">
    <w:nsid w:val="4E624744"/>
    <w:multiLevelType w:val="multilevel"/>
    <w:tmpl w:val="B13CDD56"/>
    <w:numStyleLink w:val="BulletedList"/>
  </w:abstractNum>
  <w:abstractNum w:abstractNumId="9" w15:restartNumberingAfterBreak="0">
    <w:nsid w:val="53202ABF"/>
    <w:multiLevelType w:val="hybridMultilevel"/>
    <w:tmpl w:val="567E748A"/>
    <w:lvl w:ilvl="0" w:tplc="3BE87BBE">
      <w:start w:val="1"/>
      <w:numFmt w:val="bullet"/>
      <w:lvlText w:val=""/>
      <w:lvlJc w:val="left"/>
      <w:pPr>
        <w:ind w:left="720" w:hanging="360"/>
      </w:pPr>
      <w:rPr>
        <w:rFonts w:ascii="Symbol" w:hAnsi="Symbol" w:hint="default"/>
      </w:rPr>
    </w:lvl>
    <w:lvl w:ilvl="1" w:tplc="8C88C844" w:tentative="1">
      <w:start w:val="1"/>
      <w:numFmt w:val="bullet"/>
      <w:lvlText w:val="o"/>
      <w:lvlJc w:val="left"/>
      <w:pPr>
        <w:ind w:left="1440" w:hanging="360"/>
      </w:pPr>
      <w:rPr>
        <w:rFonts w:ascii="Courier New" w:hAnsi="Courier New" w:cs="Courier New" w:hint="default"/>
      </w:rPr>
    </w:lvl>
    <w:lvl w:ilvl="2" w:tplc="5EE4C922" w:tentative="1">
      <w:start w:val="1"/>
      <w:numFmt w:val="bullet"/>
      <w:lvlText w:val=""/>
      <w:lvlJc w:val="left"/>
      <w:pPr>
        <w:ind w:left="2160" w:hanging="360"/>
      </w:pPr>
      <w:rPr>
        <w:rFonts w:ascii="Wingdings" w:hAnsi="Wingdings" w:hint="default"/>
      </w:rPr>
    </w:lvl>
    <w:lvl w:ilvl="3" w:tplc="C25838FA" w:tentative="1">
      <w:start w:val="1"/>
      <w:numFmt w:val="bullet"/>
      <w:lvlText w:val=""/>
      <w:lvlJc w:val="left"/>
      <w:pPr>
        <w:ind w:left="2880" w:hanging="360"/>
      </w:pPr>
      <w:rPr>
        <w:rFonts w:ascii="Symbol" w:hAnsi="Symbol" w:hint="default"/>
      </w:rPr>
    </w:lvl>
    <w:lvl w:ilvl="4" w:tplc="582E4F48" w:tentative="1">
      <w:start w:val="1"/>
      <w:numFmt w:val="bullet"/>
      <w:lvlText w:val="o"/>
      <w:lvlJc w:val="left"/>
      <w:pPr>
        <w:ind w:left="3600" w:hanging="360"/>
      </w:pPr>
      <w:rPr>
        <w:rFonts w:ascii="Courier New" w:hAnsi="Courier New" w:cs="Courier New" w:hint="default"/>
      </w:rPr>
    </w:lvl>
    <w:lvl w:ilvl="5" w:tplc="CBD67878" w:tentative="1">
      <w:start w:val="1"/>
      <w:numFmt w:val="bullet"/>
      <w:lvlText w:val=""/>
      <w:lvlJc w:val="left"/>
      <w:pPr>
        <w:ind w:left="4320" w:hanging="360"/>
      </w:pPr>
      <w:rPr>
        <w:rFonts w:ascii="Wingdings" w:hAnsi="Wingdings" w:hint="default"/>
      </w:rPr>
    </w:lvl>
    <w:lvl w:ilvl="6" w:tplc="09069602" w:tentative="1">
      <w:start w:val="1"/>
      <w:numFmt w:val="bullet"/>
      <w:lvlText w:val=""/>
      <w:lvlJc w:val="left"/>
      <w:pPr>
        <w:ind w:left="5040" w:hanging="360"/>
      </w:pPr>
      <w:rPr>
        <w:rFonts w:ascii="Symbol" w:hAnsi="Symbol" w:hint="default"/>
      </w:rPr>
    </w:lvl>
    <w:lvl w:ilvl="7" w:tplc="4E34B740" w:tentative="1">
      <w:start w:val="1"/>
      <w:numFmt w:val="bullet"/>
      <w:lvlText w:val="o"/>
      <w:lvlJc w:val="left"/>
      <w:pPr>
        <w:ind w:left="5760" w:hanging="360"/>
      </w:pPr>
      <w:rPr>
        <w:rFonts w:ascii="Courier New" w:hAnsi="Courier New" w:cs="Courier New" w:hint="default"/>
      </w:rPr>
    </w:lvl>
    <w:lvl w:ilvl="8" w:tplc="B6CE80CA" w:tentative="1">
      <w:start w:val="1"/>
      <w:numFmt w:val="bullet"/>
      <w:lvlText w:val=""/>
      <w:lvlJc w:val="left"/>
      <w:pPr>
        <w:ind w:left="6480" w:hanging="360"/>
      </w:pPr>
      <w:rPr>
        <w:rFonts w:ascii="Wingdings" w:hAnsi="Wingdings" w:hint="default"/>
      </w:rPr>
    </w:lvl>
  </w:abstractNum>
  <w:abstractNum w:abstractNumId="10" w15:restartNumberingAfterBreak="0">
    <w:nsid w:val="5965333D"/>
    <w:multiLevelType w:val="hybridMultilevel"/>
    <w:tmpl w:val="1EBC65B2"/>
    <w:lvl w:ilvl="0" w:tplc="66702F74">
      <w:start w:val="1"/>
      <w:numFmt w:val="bullet"/>
      <w:pStyle w:val="Xbox"/>
      <w:lvlText w:val=""/>
      <w:lvlJc w:val="left"/>
      <w:pPr>
        <w:ind w:left="360" w:hanging="360"/>
      </w:pPr>
      <w:rPr>
        <w:rFonts w:ascii="Wingdings" w:hAnsi="Wingdings" w:hint="default"/>
        <w:color w:val="BD6363"/>
        <w:sz w:val="28"/>
      </w:rPr>
    </w:lvl>
    <w:lvl w:ilvl="1" w:tplc="F190D71E" w:tentative="1">
      <w:start w:val="1"/>
      <w:numFmt w:val="bullet"/>
      <w:lvlText w:val="o"/>
      <w:lvlJc w:val="left"/>
      <w:pPr>
        <w:ind w:left="1440" w:hanging="360"/>
      </w:pPr>
      <w:rPr>
        <w:rFonts w:ascii="Courier New" w:hAnsi="Courier New" w:cs="Courier New" w:hint="default"/>
      </w:rPr>
    </w:lvl>
    <w:lvl w:ilvl="2" w:tplc="21087CBA" w:tentative="1">
      <w:start w:val="1"/>
      <w:numFmt w:val="bullet"/>
      <w:lvlText w:val=""/>
      <w:lvlJc w:val="left"/>
      <w:pPr>
        <w:ind w:left="2160" w:hanging="360"/>
      </w:pPr>
      <w:rPr>
        <w:rFonts w:ascii="Wingdings" w:hAnsi="Wingdings" w:hint="default"/>
      </w:rPr>
    </w:lvl>
    <w:lvl w:ilvl="3" w:tplc="4E101220" w:tentative="1">
      <w:start w:val="1"/>
      <w:numFmt w:val="bullet"/>
      <w:lvlText w:val=""/>
      <w:lvlJc w:val="left"/>
      <w:pPr>
        <w:ind w:left="2880" w:hanging="360"/>
      </w:pPr>
      <w:rPr>
        <w:rFonts w:ascii="Symbol" w:hAnsi="Symbol" w:hint="default"/>
      </w:rPr>
    </w:lvl>
    <w:lvl w:ilvl="4" w:tplc="AB020BBA" w:tentative="1">
      <w:start w:val="1"/>
      <w:numFmt w:val="bullet"/>
      <w:lvlText w:val="o"/>
      <w:lvlJc w:val="left"/>
      <w:pPr>
        <w:ind w:left="3600" w:hanging="360"/>
      </w:pPr>
      <w:rPr>
        <w:rFonts w:ascii="Courier New" w:hAnsi="Courier New" w:cs="Courier New" w:hint="default"/>
      </w:rPr>
    </w:lvl>
    <w:lvl w:ilvl="5" w:tplc="4BEE6C86" w:tentative="1">
      <w:start w:val="1"/>
      <w:numFmt w:val="bullet"/>
      <w:lvlText w:val=""/>
      <w:lvlJc w:val="left"/>
      <w:pPr>
        <w:ind w:left="4320" w:hanging="360"/>
      </w:pPr>
      <w:rPr>
        <w:rFonts w:ascii="Wingdings" w:hAnsi="Wingdings" w:hint="default"/>
      </w:rPr>
    </w:lvl>
    <w:lvl w:ilvl="6" w:tplc="D6B0B6A6" w:tentative="1">
      <w:start w:val="1"/>
      <w:numFmt w:val="bullet"/>
      <w:lvlText w:val=""/>
      <w:lvlJc w:val="left"/>
      <w:pPr>
        <w:ind w:left="5040" w:hanging="360"/>
      </w:pPr>
      <w:rPr>
        <w:rFonts w:ascii="Symbol" w:hAnsi="Symbol" w:hint="default"/>
      </w:rPr>
    </w:lvl>
    <w:lvl w:ilvl="7" w:tplc="70F848CC" w:tentative="1">
      <w:start w:val="1"/>
      <w:numFmt w:val="bullet"/>
      <w:lvlText w:val="o"/>
      <w:lvlJc w:val="left"/>
      <w:pPr>
        <w:ind w:left="5760" w:hanging="360"/>
      </w:pPr>
      <w:rPr>
        <w:rFonts w:ascii="Courier New" w:hAnsi="Courier New" w:cs="Courier New" w:hint="default"/>
      </w:rPr>
    </w:lvl>
    <w:lvl w:ilvl="8" w:tplc="371694AC" w:tentative="1">
      <w:start w:val="1"/>
      <w:numFmt w:val="bullet"/>
      <w:lvlText w:val=""/>
      <w:lvlJc w:val="left"/>
      <w:pPr>
        <w:ind w:left="6480" w:hanging="360"/>
      </w:pPr>
      <w:rPr>
        <w:rFonts w:ascii="Wingdings" w:hAnsi="Wingdings" w:hint="default"/>
      </w:rPr>
    </w:lvl>
  </w:abstractNum>
  <w:abstractNum w:abstractNumId="11" w15:restartNumberingAfterBreak="0">
    <w:nsid w:val="5B1031EF"/>
    <w:multiLevelType w:val="multilevel"/>
    <w:tmpl w:val="B13CDD56"/>
    <w:numStyleLink w:val="BulletedList"/>
  </w:abstractNum>
  <w:abstractNum w:abstractNumId="12" w15:restartNumberingAfterBreak="0">
    <w:nsid w:val="706E0AA3"/>
    <w:multiLevelType w:val="hybridMultilevel"/>
    <w:tmpl w:val="839A40D6"/>
    <w:lvl w:ilvl="0" w:tplc="19449F5C">
      <w:start w:val="1"/>
      <w:numFmt w:val="bullet"/>
      <w:lvlText w:val=""/>
      <w:lvlJc w:val="left"/>
      <w:pPr>
        <w:ind w:left="720" w:hanging="360"/>
      </w:pPr>
      <w:rPr>
        <w:rFonts w:ascii="Symbol" w:hAnsi="Symbol" w:hint="default"/>
        <w:color w:val="5083C9"/>
      </w:rPr>
    </w:lvl>
    <w:lvl w:ilvl="1" w:tplc="181894E0" w:tentative="1">
      <w:start w:val="1"/>
      <w:numFmt w:val="bullet"/>
      <w:lvlText w:val="o"/>
      <w:lvlJc w:val="left"/>
      <w:pPr>
        <w:ind w:left="1440" w:hanging="360"/>
      </w:pPr>
      <w:rPr>
        <w:rFonts w:ascii="Courier New" w:hAnsi="Courier New" w:cs="Courier New" w:hint="default"/>
      </w:rPr>
    </w:lvl>
    <w:lvl w:ilvl="2" w:tplc="B91E251C" w:tentative="1">
      <w:start w:val="1"/>
      <w:numFmt w:val="bullet"/>
      <w:lvlText w:val=""/>
      <w:lvlJc w:val="left"/>
      <w:pPr>
        <w:ind w:left="2160" w:hanging="360"/>
      </w:pPr>
      <w:rPr>
        <w:rFonts w:ascii="Wingdings" w:hAnsi="Wingdings" w:hint="default"/>
      </w:rPr>
    </w:lvl>
    <w:lvl w:ilvl="3" w:tplc="1DD245FC" w:tentative="1">
      <w:start w:val="1"/>
      <w:numFmt w:val="bullet"/>
      <w:lvlText w:val=""/>
      <w:lvlJc w:val="left"/>
      <w:pPr>
        <w:ind w:left="2880" w:hanging="360"/>
      </w:pPr>
      <w:rPr>
        <w:rFonts w:ascii="Symbol" w:hAnsi="Symbol" w:hint="default"/>
      </w:rPr>
    </w:lvl>
    <w:lvl w:ilvl="4" w:tplc="59684204" w:tentative="1">
      <w:start w:val="1"/>
      <w:numFmt w:val="bullet"/>
      <w:lvlText w:val="o"/>
      <w:lvlJc w:val="left"/>
      <w:pPr>
        <w:ind w:left="3600" w:hanging="360"/>
      </w:pPr>
      <w:rPr>
        <w:rFonts w:ascii="Courier New" w:hAnsi="Courier New" w:cs="Courier New" w:hint="default"/>
      </w:rPr>
    </w:lvl>
    <w:lvl w:ilvl="5" w:tplc="EEA83F52" w:tentative="1">
      <w:start w:val="1"/>
      <w:numFmt w:val="bullet"/>
      <w:lvlText w:val=""/>
      <w:lvlJc w:val="left"/>
      <w:pPr>
        <w:ind w:left="4320" w:hanging="360"/>
      </w:pPr>
      <w:rPr>
        <w:rFonts w:ascii="Wingdings" w:hAnsi="Wingdings" w:hint="default"/>
      </w:rPr>
    </w:lvl>
    <w:lvl w:ilvl="6" w:tplc="979EF0FE" w:tentative="1">
      <w:start w:val="1"/>
      <w:numFmt w:val="bullet"/>
      <w:lvlText w:val=""/>
      <w:lvlJc w:val="left"/>
      <w:pPr>
        <w:ind w:left="5040" w:hanging="360"/>
      </w:pPr>
      <w:rPr>
        <w:rFonts w:ascii="Symbol" w:hAnsi="Symbol" w:hint="default"/>
      </w:rPr>
    </w:lvl>
    <w:lvl w:ilvl="7" w:tplc="E842C734" w:tentative="1">
      <w:start w:val="1"/>
      <w:numFmt w:val="bullet"/>
      <w:lvlText w:val="o"/>
      <w:lvlJc w:val="left"/>
      <w:pPr>
        <w:ind w:left="5760" w:hanging="360"/>
      </w:pPr>
      <w:rPr>
        <w:rFonts w:ascii="Courier New" w:hAnsi="Courier New" w:cs="Courier New" w:hint="default"/>
      </w:rPr>
    </w:lvl>
    <w:lvl w:ilvl="8" w:tplc="990C11EC" w:tentative="1">
      <w:start w:val="1"/>
      <w:numFmt w:val="bullet"/>
      <w:lvlText w:val=""/>
      <w:lvlJc w:val="left"/>
      <w:pPr>
        <w:ind w:left="6480" w:hanging="360"/>
      </w:pPr>
      <w:rPr>
        <w:rFonts w:ascii="Wingdings" w:hAnsi="Wingdings" w:hint="default"/>
      </w:rPr>
    </w:lvl>
  </w:abstractNum>
  <w:abstractNum w:abstractNumId="13" w15:restartNumberingAfterBreak="0">
    <w:nsid w:val="730B4ECD"/>
    <w:multiLevelType w:val="hybridMultilevel"/>
    <w:tmpl w:val="6C406044"/>
    <w:lvl w:ilvl="0" w:tplc="E5FA2820">
      <w:start w:val="1"/>
      <w:numFmt w:val="bullet"/>
      <w:pStyle w:val="BulletlistHighlight"/>
      <w:lvlText w:val=""/>
      <w:lvlJc w:val="left"/>
      <w:pPr>
        <w:ind w:left="288" w:hanging="288"/>
      </w:pPr>
      <w:rPr>
        <w:rFonts w:ascii="Symbol" w:hAnsi="Symbol" w:hint="default"/>
      </w:rPr>
    </w:lvl>
    <w:lvl w:ilvl="1" w:tplc="E15412E4">
      <w:start w:val="1"/>
      <w:numFmt w:val="bullet"/>
      <w:lvlText w:val="o"/>
      <w:lvlJc w:val="left"/>
      <w:pPr>
        <w:ind w:left="576" w:hanging="216"/>
      </w:pPr>
      <w:rPr>
        <w:rFonts w:ascii="Courier New" w:hAnsi="Courier New" w:hint="default"/>
      </w:rPr>
    </w:lvl>
    <w:lvl w:ilvl="2" w:tplc="1FD0BE52">
      <w:start w:val="1"/>
      <w:numFmt w:val="bullet"/>
      <w:lvlText w:val=""/>
      <w:lvlJc w:val="left"/>
      <w:pPr>
        <w:ind w:left="864" w:hanging="216"/>
      </w:pPr>
      <w:rPr>
        <w:rFonts w:ascii="Wingdings" w:hAnsi="Wingdings" w:hint="default"/>
      </w:rPr>
    </w:lvl>
    <w:lvl w:ilvl="3" w:tplc="E7926B60" w:tentative="1">
      <w:start w:val="1"/>
      <w:numFmt w:val="bullet"/>
      <w:lvlText w:val=""/>
      <w:lvlJc w:val="left"/>
      <w:pPr>
        <w:ind w:left="2880" w:hanging="360"/>
      </w:pPr>
      <w:rPr>
        <w:rFonts w:ascii="Symbol" w:hAnsi="Symbol" w:hint="default"/>
      </w:rPr>
    </w:lvl>
    <w:lvl w:ilvl="4" w:tplc="E18AEA96" w:tentative="1">
      <w:start w:val="1"/>
      <w:numFmt w:val="bullet"/>
      <w:lvlText w:val="o"/>
      <w:lvlJc w:val="left"/>
      <w:pPr>
        <w:ind w:left="3600" w:hanging="360"/>
      </w:pPr>
      <w:rPr>
        <w:rFonts w:ascii="Courier New" w:hAnsi="Courier New" w:cs="Courier New" w:hint="default"/>
      </w:rPr>
    </w:lvl>
    <w:lvl w:ilvl="5" w:tplc="1766083E" w:tentative="1">
      <w:start w:val="1"/>
      <w:numFmt w:val="bullet"/>
      <w:lvlText w:val=""/>
      <w:lvlJc w:val="left"/>
      <w:pPr>
        <w:ind w:left="4320" w:hanging="360"/>
      </w:pPr>
      <w:rPr>
        <w:rFonts w:ascii="Wingdings" w:hAnsi="Wingdings" w:hint="default"/>
      </w:rPr>
    </w:lvl>
    <w:lvl w:ilvl="6" w:tplc="937ECBC0" w:tentative="1">
      <w:start w:val="1"/>
      <w:numFmt w:val="bullet"/>
      <w:lvlText w:val=""/>
      <w:lvlJc w:val="left"/>
      <w:pPr>
        <w:ind w:left="5040" w:hanging="360"/>
      </w:pPr>
      <w:rPr>
        <w:rFonts w:ascii="Symbol" w:hAnsi="Symbol" w:hint="default"/>
      </w:rPr>
    </w:lvl>
    <w:lvl w:ilvl="7" w:tplc="056EC76E" w:tentative="1">
      <w:start w:val="1"/>
      <w:numFmt w:val="bullet"/>
      <w:lvlText w:val="o"/>
      <w:lvlJc w:val="left"/>
      <w:pPr>
        <w:ind w:left="5760" w:hanging="360"/>
      </w:pPr>
      <w:rPr>
        <w:rFonts w:ascii="Courier New" w:hAnsi="Courier New" w:cs="Courier New" w:hint="default"/>
      </w:rPr>
    </w:lvl>
    <w:lvl w:ilvl="8" w:tplc="5156D582" w:tentative="1">
      <w:start w:val="1"/>
      <w:numFmt w:val="bullet"/>
      <w:lvlText w:val=""/>
      <w:lvlJc w:val="left"/>
      <w:pPr>
        <w:ind w:left="6480" w:hanging="360"/>
      </w:pPr>
      <w:rPr>
        <w:rFonts w:ascii="Wingdings" w:hAnsi="Wingdings" w:hint="default"/>
      </w:rPr>
    </w:lvl>
  </w:abstractNum>
  <w:abstractNum w:abstractNumId="14" w15:restartNumberingAfterBreak="0">
    <w:nsid w:val="75EE6EA1"/>
    <w:multiLevelType w:val="hybridMultilevel"/>
    <w:tmpl w:val="C10201E4"/>
    <w:lvl w:ilvl="0" w:tplc="C44C2BAA">
      <w:start w:val="1"/>
      <w:numFmt w:val="bullet"/>
      <w:pStyle w:val="Bullet"/>
      <w:lvlText w:val=""/>
      <w:lvlJc w:val="left"/>
      <w:pPr>
        <w:ind w:left="720" w:hanging="360"/>
      </w:pPr>
      <w:rPr>
        <w:rFonts w:ascii="Symbol" w:hAnsi="Symbol" w:hint="default"/>
        <w:color w:val="6F61B0"/>
      </w:rPr>
    </w:lvl>
    <w:lvl w:ilvl="1" w:tplc="8AFE93C0">
      <w:start w:val="1"/>
      <w:numFmt w:val="bullet"/>
      <w:lvlText w:val="o"/>
      <w:lvlJc w:val="left"/>
      <w:pPr>
        <w:ind w:left="1440" w:hanging="360"/>
      </w:pPr>
      <w:rPr>
        <w:rFonts w:ascii="Courier New" w:hAnsi="Courier New" w:cs="Courier New" w:hint="default"/>
      </w:rPr>
    </w:lvl>
    <w:lvl w:ilvl="2" w:tplc="A7FAB480">
      <w:start w:val="1"/>
      <w:numFmt w:val="bullet"/>
      <w:lvlText w:val=""/>
      <w:lvlJc w:val="left"/>
      <w:pPr>
        <w:ind w:left="2160" w:hanging="360"/>
      </w:pPr>
      <w:rPr>
        <w:rFonts w:ascii="Wingdings" w:hAnsi="Wingdings" w:hint="default"/>
      </w:rPr>
    </w:lvl>
    <w:lvl w:ilvl="3" w:tplc="0F7685F2" w:tentative="1">
      <w:start w:val="1"/>
      <w:numFmt w:val="bullet"/>
      <w:lvlText w:val=""/>
      <w:lvlJc w:val="left"/>
      <w:pPr>
        <w:ind w:left="2880" w:hanging="360"/>
      </w:pPr>
      <w:rPr>
        <w:rFonts w:ascii="Symbol" w:hAnsi="Symbol" w:hint="default"/>
      </w:rPr>
    </w:lvl>
    <w:lvl w:ilvl="4" w:tplc="F5487884" w:tentative="1">
      <w:start w:val="1"/>
      <w:numFmt w:val="bullet"/>
      <w:lvlText w:val="o"/>
      <w:lvlJc w:val="left"/>
      <w:pPr>
        <w:ind w:left="3600" w:hanging="360"/>
      </w:pPr>
      <w:rPr>
        <w:rFonts w:ascii="Courier New" w:hAnsi="Courier New" w:cs="Courier New" w:hint="default"/>
      </w:rPr>
    </w:lvl>
    <w:lvl w:ilvl="5" w:tplc="D312DFFA" w:tentative="1">
      <w:start w:val="1"/>
      <w:numFmt w:val="bullet"/>
      <w:lvlText w:val=""/>
      <w:lvlJc w:val="left"/>
      <w:pPr>
        <w:ind w:left="4320" w:hanging="360"/>
      </w:pPr>
      <w:rPr>
        <w:rFonts w:ascii="Wingdings" w:hAnsi="Wingdings" w:hint="default"/>
      </w:rPr>
    </w:lvl>
    <w:lvl w:ilvl="6" w:tplc="38A45B66" w:tentative="1">
      <w:start w:val="1"/>
      <w:numFmt w:val="bullet"/>
      <w:lvlText w:val=""/>
      <w:lvlJc w:val="left"/>
      <w:pPr>
        <w:ind w:left="5040" w:hanging="360"/>
      </w:pPr>
      <w:rPr>
        <w:rFonts w:ascii="Symbol" w:hAnsi="Symbol" w:hint="default"/>
      </w:rPr>
    </w:lvl>
    <w:lvl w:ilvl="7" w:tplc="E61EA168" w:tentative="1">
      <w:start w:val="1"/>
      <w:numFmt w:val="bullet"/>
      <w:lvlText w:val="o"/>
      <w:lvlJc w:val="left"/>
      <w:pPr>
        <w:ind w:left="5760" w:hanging="360"/>
      </w:pPr>
      <w:rPr>
        <w:rFonts w:ascii="Courier New" w:hAnsi="Courier New" w:cs="Courier New" w:hint="default"/>
      </w:rPr>
    </w:lvl>
    <w:lvl w:ilvl="8" w:tplc="B2F62128" w:tentative="1">
      <w:start w:val="1"/>
      <w:numFmt w:val="bullet"/>
      <w:lvlText w:val=""/>
      <w:lvlJc w:val="left"/>
      <w:pPr>
        <w:ind w:left="6480" w:hanging="360"/>
      </w:pPr>
      <w:rPr>
        <w:rFonts w:ascii="Wingdings" w:hAnsi="Wingdings" w:hint="default"/>
      </w:rPr>
    </w:lvl>
  </w:abstractNum>
  <w:num w:numId="1" w16cid:durableId="608859637">
    <w:abstractNumId w:val="0"/>
  </w:num>
  <w:num w:numId="2" w16cid:durableId="1541478750">
    <w:abstractNumId w:val="6"/>
  </w:num>
  <w:num w:numId="3" w16cid:durableId="466364207">
    <w:abstractNumId w:val="2"/>
  </w:num>
  <w:num w:numId="4" w16cid:durableId="255747194">
    <w:abstractNumId w:val="8"/>
  </w:num>
  <w:num w:numId="5" w16cid:durableId="1410813681">
    <w:abstractNumId w:val="13"/>
  </w:num>
  <w:num w:numId="6" w16cid:durableId="850071475">
    <w:abstractNumId w:val="5"/>
  </w:num>
  <w:num w:numId="7" w16cid:durableId="2120949175">
    <w:abstractNumId w:val="2"/>
  </w:num>
  <w:num w:numId="8" w16cid:durableId="1681661906">
    <w:abstractNumId w:val="8"/>
  </w:num>
  <w:num w:numId="9" w16cid:durableId="1465467829">
    <w:abstractNumId w:val="11"/>
  </w:num>
  <w:num w:numId="10" w16cid:durableId="678849434">
    <w:abstractNumId w:val="7"/>
  </w:num>
  <w:num w:numId="11" w16cid:durableId="2041779904">
    <w:abstractNumId w:val="10"/>
  </w:num>
  <w:num w:numId="12" w16cid:durableId="1651599050">
    <w:abstractNumId w:val="14"/>
  </w:num>
  <w:num w:numId="13" w16cid:durableId="1337224432">
    <w:abstractNumId w:val="12"/>
  </w:num>
  <w:num w:numId="14" w16cid:durableId="993489821">
    <w:abstractNumId w:val="3"/>
  </w:num>
  <w:num w:numId="15" w16cid:durableId="679084995">
    <w:abstractNumId w:val="1"/>
  </w:num>
  <w:num w:numId="16" w16cid:durableId="362290189">
    <w:abstractNumId w:val="9"/>
  </w:num>
  <w:num w:numId="17" w16cid:durableId="1375501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0NzI1NTUwtjAzNTFX0lEKTi0uzszPAykwrQUAcD8y0iwAAAA="/>
  </w:docVars>
  <w:rsids>
    <w:rsidRoot w:val="003E20C8"/>
    <w:rsid w:val="000019AA"/>
    <w:rsid w:val="00030869"/>
    <w:rsid w:val="00031813"/>
    <w:rsid w:val="00036D4E"/>
    <w:rsid w:val="000372B6"/>
    <w:rsid w:val="00037914"/>
    <w:rsid w:val="0004017A"/>
    <w:rsid w:val="0004653B"/>
    <w:rsid w:val="00046D90"/>
    <w:rsid w:val="00060399"/>
    <w:rsid w:val="00062A45"/>
    <w:rsid w:val="0006487B"/>
    <w:rsid w:val="00066915"/>
    <w:rsid w:val="00066D58"/>
    <w:rsid w:val="00067042"/>
    <w:rsid w:val="00071C4A"/>
    <w:rsid w:val="00082392"/>
    <w:rsid w:val="000847AD"/>
    <w:rsid w:val="00086835"/>
    <w:rsid w:val="00087FFD"/>
    <w:rsid w:val="00090473"/>
    <w:rsid w:val="000959FF"/>
    <w:rsid w:val="000A3773"/>
    <w:rsid w:val="000A63CB"/>
    <w:rsid w:val="000B1014"/>
    <w:rsid w:val="000B2BED"/>
    <w:rsid w:val="000B34D9"/>
    <w:rsid w:val="000B6256"/>
    <w:rsid w:val="000B7250"/>
    <w:rsid w:val="000C1D7E"/>
    <w:rsid w:val="000C42EB"/>
    <w:rsid w:val="000C53DA"/>
    <w:rsid w:val="000C6B5B"/>
    <w:rsid w:val="000C6C43"/>
    <w:rsid w:val="000D223A"/>
    <w:rsid w:val="000D2977"/>
    <w:rsid w:val="000D6ECE"/>
    <w:rsid w:val="000E07EF"/>
    <w:rsid w:val="000E0AAC"/>
    <w:rsid w:val="000E5DAB"/>
    <w:rsid w:val="000F3E61"/>
    <w:rsid w:val="000F5EB6"/>
    <w:rsid w:val="00104B87"/>
    <w:rsid w:val="00105EF1"/>
    <w:rsid w:val="00110482"/>
    <w:rsid w:val="001125D8"/>
    <w:rsid w:val="00112841"/>
    <w:rsid w:val="00114414"/>
    <w:rsid w:val="001201BC"/>
    <w:rsid w:val="0012162D"/>
    <w:rsid w:val="00122754"/>
    <w:rsid w:val="0012676D"/>
    <w:rsid w:val="00130433"/>
    <w:rsid w:val="00130FD1"/>
    <w:rsid w:val="001327E9"/>
    <w:rsid w:val="00134974"/>
    <w:rsid w:val="00150800"/>
    <w:rsid w:val="00156F0D"/>
    <w:rsid w:val="00157181"/>
    <w:rsid w:val="001622D4"/>
    <w:rsid w:val="0016683E"/>
    <w:rsid w:val="00166EC9"/>
    <w:rsid w:val="00171781"/>
    <w:rsid w:val="001725D9"/>
    <w:rsid w:val="00176100"/>
    <w:rsid w:val="00184F9B"/>
    <w:rsid w:val="00187EF8"/>
    <w:rsid w:val="0019038E"/>
    <w:rsid w:val="00190FB9"/>
    <w:rsid w:val="00191C89"/>
    <w:rsid w:val="00193242"/>
    <w:rsid w:val="0019415A"/>
    <w:rsid w:val="001945BC"/>
    <w:rsid w:val="0019619A"/>
    <w:rsid w:val="001A360B"/>
    <w:rsid w:val="001A41DD"/>
    <w:rsid w:val="001B1A7E"/>
    <w:rsid w:val="001B24E0"/>
    <w:rsid w:val="001B5774"/>
    <w:rsid w:val="001B5F17"/>
    <w:rsid w:val="001B75D8"/>
    <w:rsid w:val="001C25EC"/>
    <w:rsid w:val="001C5669"/>
    <w:rsid w:val="001C7236"/>
    <w:rsid w:val="001D3AA0"/>
    <w:rsid w:val="001E5E8D"/>
    <w:rsid w:val="001E691B"/>
    <w:rsid w:val="001F0B94"/>
    <w:rsid w:val="001F6508"/>
    <w:rsid w:val="00200E35"/>
    <w:rsid w:val="0020734B"/>
    <w:rsid w:val="00210453"/>
    <w:rsid w:val="0021208D"/>
    <w:rsid w:val="002273C6"/>
    <w:rsid w:val="00235511"/>
    <w:rsid w:val="00235733"/>
    <w:rsid w:val="00240A0D"/>
    <w:rsid w:val="0024208C"/>
    <w:rsid w:val="002540B1"/>
    <w:rsid w:val="00255B95"/>
    <w:rsid w:val="00256173"/>
    <w:rsid w:val="0026000D"/>
    <w:rsid w:val="00261DBA"/>
    <w:rsid w:val="00263261"/>
    <w:rsid w:val="00265CE6"/>
    <w:rsid w:val="0027165D"/>
    <w:rsid w:val="002716C9"/>
    <w:rsid w:val="00271B31"/>
    <w:rsid w:val="002721A9"/>
    <w:rsid w:val="00272CD7"/>
    <w:rsid w:val="00280B5F"/>
    <w:rsid w:val="00282C22"/>
    <w:rsid w:val="00287247"/>
    <w:rsid w:val="0029513B"/>
    <w:rsid w:val="002955C5"/>
    <w:rsid w:val="002A0623"/>
    <w:rsid w:val="002A0BC7"/>
    <w:rsid w:val="002A10E4"/>
    <w:rsid w:val="002A65EC"/>
    <w:rsid w:val="002B1630"/>
    <w:rsid w:val="002B2DB3"/>
    <w:rsid w:val="002C0B5B"/>
    <w:rsid w:val="002C0FC8"/>
    <w:rsid w:val="002C45B2"/>
    <w:rsid w:val="002C4D5B"/>
    <w:rsid w:val="002C55F5"/>
    <w:rsid w:val="002D0362"/>
    <w:rsid w:val="002D1D23"/>
    <w:rsid w:val="002D32FF"/>
    <w:rsid w:val="002D3CBE"/>
    <w:rsid w:val="002D7201"/>
    <w:rsid w:val="002E45F7"/>
    <w:rsid w:val="002E7F0A"/>
    <w:rsid w:val="002F02F6"/>
    <w:rsid w:val="002F0ACC"/>
    <w:rsid w:val="002F4E07"/>
    <w:rsid w:val="002F7EE0"/>
    <w:rsid w:val="003014E4"/>
    <w:rsid w:val="0030303C"/>
    <w:rsid w:val="00303AD3"/>
    <w:rsid w:val="00306C6D"/>
    <w:rsid w:val="00306C80"/>
    <w:rsid w:val="00311BCF"/>
    <w:rsid w:val="00311DCE"/>
    <w:rsid w:val="00312A95"/>
    <w:rsid w:val="00317864"/>
    <w:rsid w:val="00322974"/>
    <w:rsid w:val="003243B0"/>
    <w:rsid w:val="003267EB"/>
    <w:rsid w:val="003279FF"/>
    <w:rsid w:val="003309A3"/>
    <w:rsid w:val="00331303"/>
    <w:rsid w:val="00333B67"/>
    <w:rsid w:val="00335E9A"/>
    <w:rsid w:val="003410B4"/>
    <w:rsid w:val="003449B4"/>
    <w:rsid w:val="00346FB8"/>
    <w:rsid w:val="00352722"/>
    <w:rsid w:val="003528AB"/>
    <w:rsid w:val="00352950"/>
    <w:rsid w:val="0035530B"/>
    <w:rsid w:val="0036693B"/>
    <w:rsid w:val="003676BE"/>
    <w:rsid w:val="003678B7"/>
    <w:rsid w:val="003701F3"/>
    <w:rsid w:val="00371980"/>
    <w:rsid w:val="0037553A"/>
    <w:rsid w:val="0037645B"/>
    <w:rsid w:val="00377AA8"/>
    <w:rsid w:val="00384812"/>
    <w:rsid w:val="003849AE"/>
    <w:rsid w:val="003968B4"/>
    <w:rsid w:val="003A265F"/>
    <w:rsid w:val="003A29DB"/>
    <w:rsid w:val="003A3A3E"/>
    <w:rsid w:val="003A3DFE"/>
    <w:rsid w:val="003A504C"/>
    <w:rsid w:val="003A6B72"/>
    <w:rsid w:val="003A725C"/>
    <w:rsid w:val="003C0207"/>
    <w:rsid w:val="003C10A8"/>
    <w:rsid w:val="003C713E"/>
    <w:rsid w:val="003E0EF8"/>
    <w:rsid w:val="003E20C8"/>
    <w:rsid w:val="003E2829"/>
    <w:rsid w:val="003E33F7"/>
    <w:rsid w:val="003E483D"/>
    <w:rsid w:val="003F4DBD"/>
    <w:rsid w:val="003F5F6E"/>
    <w:rsid w:val="00404BB7"/>
    <w:rsid w:val="004050C8"/>
    <w:rsid w:val="00410BD6"/>
    <w:rsid w:val="00415CFD"/>
    <w:rsid w:val="00416F95"/>
    <w:rsid w:val="004279C6"/>
    <w:rsid w:val="00430D91"/>
    <w:rsid w:val="00441695"/>
    <w:rsid w:val="00441851"/>
    <w:rsid w:val="00443648"/>
    <w:rsid w:val="004443A9"/>
    <w:rsid w:val="004477AE"/>
    <w:rsid w:val="00451C48"/>
    <w:rsid w:val="00456335"/>
    <w:rsid w:val="00456666"/>
    <w:rsid w:val="00456D64"/>
    <w:rsid w:val="00463CC2"/>
    <w:rsid w:val="004653FB"/>
    <w:rsid w:val="00465863"/>
    <w:rsid w:val="0046611A"/>
    <w:rsid w:val="004665D8"/>
    <w:rsid w:val="00467993"/>
    <w:rsid w:val="00472938"/>
    <w:rsid w:val="00481013"/>
    <w:rsid w:val="004833E6"/>
    <w:rsid w:val="00483EC9"/>
    <w:rsid w:val="00484002"/>
    <w:rsid w:val="004848DB"/>
    <w:rsid w:val="00484B6A"/>
    <w:rsid w:val="00485C3A"/>
    <w:rsid w:val="00490041"/>
    <w:rsid w:val="004921D4"/>
    <w:rsid w:val="0049321E"/>
    <w:rsid w:val="00496416"/>
    <w:rsid w:val="004967FA"/>
    <w:rsid w:val="004A52A6"/>
    <w:rsid w:val="004A65E6"/>
    <w:rsid w:val="004A6656"/>
    <w:rsid w:val="004A724D"/>
    <w:rsid w:val="004B125C"/>
    <w:rsid w:val="004B27E8"/>
    <w:rsid w:val="004B62B2"/>
    <w:rsid w:val="004B74E0"/>
    <w:rsid w:val="004C1B5E"/>
    <w:rsid w:val="004D2D09"/>
    <w:rsid w:val="004D59EF"/>
    <w:rsid w:val="004D7955"/>
    <w:rsid w:val="004E07E8"/>
    <w:rsid w:val="004E26FB"/>
    <w:rsid w:val="004E47BD"/>
    <w:rsid w:val="004E4B6D"/>
    <w:rsid w:val="004E55D8"/>
    <w:rsid w:val="004F1511"/>
    <w:rsid w:val="004F1F20"/>
    <w:rsid w:val="004F2BCB"/>
    <w:rsid w:val="004F31D5"/>
    <w:rsid w:val="004F3C17"/>
    <w:rsid w:val="00501D6E"/>
    <w:rsid w:val="005048CB"/>
    <w:rsid w:val="00506D6A"/>
    <w:rsid w:val="00510926"/>
    <w:rsid w:val="00520844"/>
    <w:rsid w:val="00525992"/>
    <w:rsid w:val="00526C74"/>
    <w:rsid w:val="0053037B"/>
    <w:rsid w:val="00532D0F"/>
    <w:rsid w:val="00533FF4"/>
    <w:rsid w:val="00534014"/>
    <w:rsid w:val="00534A4D"/>
    <w:rsid w:val="00537015"/>
    <w:rsid w:val="00540DCB"/>
    <w:rsid w:val="00541C08"/>
    <w:rsid w:val="00545506"/>
    <w:rsid w:val="005463E7"/>
    <w:rsid w:val="00551773"/>
    <w:rsid w:val="00563618"/>
    <w:rsid w:val="00567239"/>
    <w:rsid w:val="00567D5C"/>
    <w:rsid w:val="00573CB0"/>
    <w:rsid w:val="00574F66"/>
    <w:rsid w:val="005802A2"/>
    <w:rsid w:val="005812C0"/>
    <w:rsid w:val="005826C8"/>
    <w:rsid w:val="005846AE"/>
    <w:rsid w:val="00584B55"/>
    <w:rsid w:val="005941A4"/>
    <w:rsid w:val="00594288"/>
    <w:rsid w:val="0059550D"/>
    <w:rsid w:val="005A5BCC"/>
    <w:rsid w:val="005B313C"/>
    <w:rsid w:val="005B59C3"/>
    <w:rsid w:val="005B5E47"/>
    <w:rsid w:val="005C02BC"/>
    <w:rsid w:val="005C1103"/>
    <w:rsid w:val="005C3A84"/>
    <w:rsid w:val="005C4E58"/>
    <w:rsid w:val="005C55F9"/>
    <w:rsid w:val="005C5943"/>
    <w:rsid w:val="005C5A59"/>
    <w:rsid w:val="005D05D9"/>
    <w:rsid w:val="005E10E1"/>
    <w:rsid w:val="005E5147"/>
    <w:rsid w:val="005E605A"/>
    <w:rsid w:val="005F1D4B"/>
    <w:rsid w:val="00613E51"/>
    <w:rsid w:val="0061459E"/>
    <w:rsid w:val="006210F5"/>
    <w:rsid w:val="00621BA4"/>
    <w:rsid w:val="00623BA2"/>
    <w:rsid w:val="00633636"/>
    <w:rsid w:val="00641114"/>
    <w:rsid w:val="00641D0B"/>
    <w:rsid w:val="00645786"/>
    <w:rsid w:val="00651317"/>
    <w:rsid w:val="00652616"/>
    <w:rsid w:val="006568EA"/>
    <w:rsid w:val="00656993"/>
    <w:rsid w:val="00656B59"/>
    <w:rsid w:val="006610C3"/>
    <w:rsid w:val="0066136A"/>
    <w:rsid w:val="00665324"/>
    <w:rsid w:val="00670E20"/>
    <w:rsid w:val="006748E2"/>
    <w:rsid w:val="00677DD4"/>
    <w:rsid w:val="00681B07"/>
    <w:rsid w:val="006832C2"/>
    <w:rsid w:val="00684369"/>
    <w:rsid w:val="00691D1F"/>
    <w:rsid w:val="0069439F"/>
    <w:rsid w:val="0069462B"/>
    <w:rsid w:val="00696D81"/>
    <w:rsid w:val="006A5039"/>
    <w:rsid w:val="006A5253"/>
    <w:rsid w:val="006B0238"/>
    <w:rsid w:val="006B4FC1"/>
    <w:rsid w:val="006C01C5"/>
    <w:rsid w:val="006C0888"/>
    <w:rsid w:val="006C7F5D"/>
    <w:rsid w:val="006D0148"/>
    <w:rsid w:val="006D2009"/>
    <w:rsid w:val="006E06E1"/>
    <w:rsid w:val="006E1343"/>
    <w:rsid w:val="006E3B62"/>
    <w:rsid w:val="006F42CF"/>
    <w:rsid w:val="006F4FF4"/>
    <w:rsid w:val="006F5B08"/>
    <w:rsid w:val="007062D5"/>
    <w:rsid w:val="0070674F"/>
    <w:rsid w:val="00707343"/>
    <w:rsid w:val="00710697"/>
    <w:rsid w:val="00714A8F"/>
    <w:rsid w:val="007153FC"/>
    <w:rsid w:val="007222CF"/>
    <w:rsid w:val="00722E42"/>
    <w:rsid w:val="00723C92"/>
    <w:rsid w:val="007323F2"/>
    <w:rsid w:val="00732AF9"/>
    <w:rsid w:val="00735103"/>
    <w:rsid w:val="007373A2"/>
    <w:rsid w:val="00737B9E"/>
    <w:rsid w:val="007402E1"/>
    <w:rsid w:val="00740B84"/>
    <w:rsid w:val="00743042"/>
    <w:rsid w:val="00757C60"/>
    <w:rsid w:val="00761EAA"/>
    <w:rsid w:val="007666FD"/>
    <w:rsid w:val="007712C7"/>
    <w:rsid w:val="00772068"/>
    <w:rsid w:val="00772281"/>
    <w:rsid w:val="00775ED9"/>
    <w:rsid w:val="007774EC"/>
    <w:rsid w:val="0077779D"/>
    <w:rsid w:val="00781BBD"/>
    <w:rsid w:val="00790493"/>
    <w:rsid w:val="00790519"/>
    <w:rsid w:val="00792421"/>
    <w:rsid w:val="00794C94"/>
    <w:rsid w:val="007953F7"/>
    <w:rsid w:val="007A0C05"/>
    <w:rsid w:val="007A1895"/>
    <w:rsid w:val="007A44DB"/>
    <w:rsid w:val="007A4859"/>
    <w:rsid w:val="007A5246"/>
    <w:rsid w:val="007B1BCC"/>
    <w:rsid w:val="007B219C"/>
    <w:rsid w:val="007B2EC5"/>
    <w:rsid w:val="007B2EEC"/>
    <w:rsid w:val="007C1DDB"/>
    <w:rsid w:val="007C3405"/>
    <w:rsid w:val="007C4465"/>
    <w:rsid w:val="007C6DD1"/>
    <w:rsid w:val="007D17CA"/>
    <w:rsid w:val="007D60B5"/>
    <w:rsid w:val="007D6E4A"/>
    <w:rsid w:val="007E04E7"/>
    <w:rsid w:val="007E46BA"/>
    <w:rsid w:val="007E5241"/>
    <w:rsid w:val="007E5B2D"/>
    <w:rsid w:val="007E5D2D"/>
    <w:rsid w:val="007E7977"/>
    <w:rsid w:val="007E7F67"/>
    <w:rsid w:val="007F0115"/>
    <w:rsid w:val="007F3C38"/>
    <w:rsid w:val="007F40FF"/>
    <w:rsid w:val="007F5B35"/>
    <w:rsid w:val="007F657A"/>
    <w:rsid w:val="00800737"/>
    <w:rsid w:val="00802134"/>
    <w:rsid w:val="00802FF0"/>
    <w:rsid w:val="008039C2"/>
    <w:rsid w:val="0080541E"/>
    <w:rsid w:val="00805495"/>
    <w:rsid w:val="00805553"/>
    <w:rsid w:val="00807D61"/>
    <w:rsid w:val="00817EEE"/>
    <w:rsid w:val="00821229"/>
    <w:rsid w:val="00823603"/>
    <w:rsid w:val="008254B5"/>
    <w:rsid w:val="00826394"/>
    <w:rsid w:val="00831BB0"/>
    <w:rsid w:val="008325A3"/>
    <w:rsid w:val="00833424"/>
    <w:rsid w:val="0083402C"/>
    <w:rsid w:val="008353B9"/>
    <w:rsid w:val="00837A4B"/>
    <w:rsid w:val="00844896"/>
    <w:rsid w:val="0084543D"/>
    <w:rsid w:val="008460E6"/>
    <w:rsid w:val="00846102"/>
    <w:rsid w:val="0084652D"/>
    <w:rsid w:val="00857DBB"/>
    <w:rsid w:val="00864836"/>
    <w:rsid w:val="008731A8"/>
    <w:rsid w:val="00874204"/>
    <w:rsid w:val="00875809"/>
    <w:rsid w:val="008770D5"/>
    <w:rsid w:val="008801A9"/>
    <w:rsid w:val="008813AC"/>
    <w:rsid w:val="00881E33"/>
    <w:rsid w:val="008824CA"/>
    <w:rsid w:val="008842CE"/>
    <w:rsid w:val="00893224"/>
    <w:rsid w:val="00893751"/>
    <w:rsid w:val="008A3228"/>
    <w:rsid w:val="008A3888"/>
    <w:rsid w:val="008A467D"/>
    <w:rsid w:val="008A4F59"/>
    <w:rsid w:val="008A6442"/>
    <w:rsid w:val="008A7E71"/>
    <w:rsid w:val="008C01A9"/>
    <w:rsid w:val="008C2BE3"/>
    <w:rsid w:val="008C347E"/>
    <w:rsid w:val="008C3888"/>
    <w:rsid w:val="008C3FE0"/>
    <w:rsid w:val="008C4D53"/>
    <w:rsid w:val="008C539C"/>
    <w:rsid w:val="008C6982"/>
    <w:rsid w:val="008E1501"/>
    <w:rsid w:val="008E26F3"/>
    <w:rsid w:val="008E2809"/>
    <w:rsid w:val="008E4D41"/>
    <w:rsid w:val="008E5F82"/>
    <w:rsid w:val="008F0460"/>
    <w:rsid w:val="008F4580"/>
    <w:rsid w:val="008F4A83"/>
    <w:rsid w:val="008F7915"/>
    <w:rsid w:val="008F7B15"/>
    <w:rsid w:val="00905119"/>
    <w:rsid w:val="009067BB"/>
    <w:rsid w:val="00906868"/>
    <w:rsid w:val="00906A80"/>
    <w:rsid w:val="00907A10"/>
    <w:rsid w:val="00921A94"/>
    <w:rsid w:val="00922CE2"/>
    <w:rsid w:val="009260FD"/>
    <w:rsid w:val="00926535"/>
    <w:rsid w:val="00930E49"/>
    <w:rsid w:val="00933EBA"/>
    <w:rsid w:val="00936765"/>
    <w:rsid w:val="00937FF8"/>
    <w:rsid w:val="00942942"/>
    <w:rsid w:val="00943C0A"/>
    <w:rsid w:val="0094503B"/>
    <w:rsid w:val="00945338"/>
    <w:rsid w:val="00946661"/>
    <w:rsid w:val="00947E11"/>
    <w:rsid w:val="00953C4E"/>
    <w:rsid w:val="00954358"/>
    <w:rsid w:val="0095445B"/>
    <w:rsid w:val="00982814"/>
    <w:rsid w:val="0098531F"/>
    <w:rsid w:val="009858DC"/>
    <w:rsid w:val="0098636D"/>
    <w:rsid w:val="00990C2F"/>
    <w:rsid w:val="00993033"/>
    <w:rsid w:val="00994E84"/>
    <w:rsid w:val="009A2FD4"/>
    <w:rsid w:val="009A5D34"/>
    <w:rsid w:val="009A663E"/>
    <w:rsid w:val="009A6BC8"/>
    <w:rsid w:val="009A704F"/>
    <w:rsid w:val="009A737C"/>
    <w:rsid w:val="009B0622"/>
    <w:rsid w:val="009B3518"/>
    <w:rsid w:val="009C091E"/>
    <w:rsid w:val="009C1A84"/>
    <w:rsid w:val="009D4BB6"/>
    <w:rsid w:val="009D4DD5"/>
    <w:rsid w:val="009E2C9E"/>
    <w:rsid w:val="009E4DC9"/>
    <w:rsid w:val="009F3CA3"/>
    <w:rsid w:val="009F7555"/>
    <w:rsid w:val="00A001A0"/>
    <w:rsid w:val="00A015B7"/>
    <w:rsid w:val="00A04369"/>
    <w:rsid w:val="00A1106E"/>
    <w:rsid w:val="00A13FD3"/>
    <w:rsid w:val="00A14670"/>
    <w:rsid w:val="00A15D9A"/>
    <w:rsid w:val="00A179E0"/>
    <w:rsid w:val="00A227AC"/>
    <w:rsid w:val="00A322EC"/>
    <w:rsid w:val="00A32AB7"/>
    <w:rsid w:val="00A337BD"/>
    <w:rsid w:val="00A357CD"/>
    <w:rsid w:val="00A4170D"/>
    <w:rsid w:val="00A44A8C"/>
    <w:rsid w:val="00A45479"/>
    <w:rsid w:val="00A45B78"/>
    <w:rsid w:val="00A464AC"/>
    <w:rsid w:val="00A47C53"/>
    <w:rsid w:val="00A51B17"/>
    <w:rsid w:val="00A6045F"/>
    <w:rsid w:val="00A60A46"/>
    <w:rsid w:val="00A615C4"/>
    <w:rsid w:val="00A63514"/>
    <w:rsid w:val="00A65219"/>
    <w:rsid w:val="00A653A1"/>
    <w:rsid w:val="00A65B25"/>
    <w:rsid w:val="00A67644"/>
    <w:rsid w:val="00A71312"/>
    <w:rsid w:val="00A76077"/>
    <w:rsid w:val="00A8299D"/>
    <w:rsid w:val="00A83B8D"/>
    <w:rsid w:val="00A83C9F"/>
    <w:rsid w:val="00A9047C"/>
    <w:rsid w:val="00A95ADA"/>
    <w:rsid w:val="00A96E41"/>
    <w:rsid w:val="00A96ECF"/>
    <w:rsid w:val="00AA4A67"/>
    <w:rsid w:val="00AA5281"/>
    <w:rsid w:val="00AA6FBC"/>
    <w:rsid w:val="00AA76A1"/>
    <w:rsid w:val="00AA7BCA"/>
    <w:rsid w:val="00AB4909"/>
    <w:rsid w:val="00AC32BC"/>
    <w:rsid w:val="00AC45BC"/>
    <w:rsid w:val="00AD0649"/>
    <w:rsid w:val="00AD187C"/>
    <w:rsid w:val="00AE17B7"/>
    <w:rsid w:val="00AE49B9"/>
    <w:rsid w:val="00AE4FAC"/>
    <w:rsid w:val="00AF075C"/>
    <w:rsid w:val="00AF1DC3"/>
    <w:rsid w:val="00AF34E7"/>
    <w:rsid w:val="00AF50F0"/>
    <w:rsid w:val="00AF6987"/>
    <w:rsid w:val="00B029A8"/>
    <w:rsid w:val="00B06706"/>
    <w:rsid w:val="00B07950"/>
    <w:rsid w:val="00B108E3"/>
    <w:rsid w:val="00B10AEC"/>
    <w:rsid w:val="00B127F5"/>
    <w:rsid w:val="00B12BA2"/>
    <w:rsid w:val="00B17BDB"/>
    <w:rsid w:val="00B27C10"/>
    <w:rsid w:val="00B305C0"/>
    <w:rsid w:val="00B3425B"/>
    <w:rsid w:val="00B4439B"/>
    <w:rsid w:val="00B44693"/>
    <w:rsid w:val="00B5720D"/>
    <w:rsid w:val="00B5771B"/>
    <w:rsid w:val="00B619C6"/>
    <w:rsid w:val="00B61D79"/>
    <w:rsid w:val="00B62A40"/>
    <w:rsid w:val="00B634D0"/>
    <w:rsid w:val="00B63EAB"/>
    <w:rsid w:val="00B65BC8"/>
    <w:rsid w:val="00B674B8"/>
    <w:rsid w:val="00B71F3E"/>
    <w:rsid w:val="00B734FA"/>
    <w:rsid w:val="00B7710E"/>
    <w:rsid w:val="00B80936"/>
    <w:rsid w:val="00B8102A"/>
    <w:rsid w:val="00B847B9"/>
    <w:rsid w:val="00B90C76"/>
    <w:rsid w:val="00B925EB"/>
    <w:rsid w:val="00B95E6E"/>
    <w:rsid w:val="00BA47BA"/>
    <w:rsid w:val="00BA5757"/>
    <w:rsid w:val="00BB13B1"/>
    <w:rsid w:val="00BC1A99"/>
    <w:rsid w:val="00BC1B95"/>
    <w:rsid w:val="00BC5A3E"/>
    <w:rsid w:val="00BD6708"/>
    <w:rsid w:val="00BD7EDC"/>
    <w:rsid w:val="00BE229C"/>
    <w:rsid w:val="00BE45E1"/>
    <w:rsid w:val="00C06A25"/>
    <w:rsid w:val="00C112C1"/>
    <w:rsid w:val="00C11A44"/>
    <w:rsid w:val="00C11DDE"/>
    <w:rsid w:val="00C134E0"/>
    <w:rsid w:val="00C14292"/>
    <w:rsid w:val="00C222EA"/>
    <w:rsid w:val="00C2563E"/>
    <w:rsid w:val="00C25A51"/>
    <w:rsid w:val="00C30002"/>
    <w:rsid w:val="00C3186B"/>
    <w:rsid w:val="00C360A3"/>
    <w:rsid w:val="00C36845"/>
    <w:rsid w:val="00C37FC9"/>
    <w:rsid w:val="00C41CFD"/>
    <w:rsid w:val="00C4390B"/>
    <w:rsid w:val="00C46CB9"/>
    <w:rsid w:val="00C50107"/>
    <w:rsid w:val="00C50944"/>
    <w:rsid w:val="00C516A2"/>
    <w:rsid w:val="00C516A9"/>
    <w:rsid w:val="00C52FF4"/>
    <w:rsid w:val="00C534ED"/>
    <w:rsid w:val="00C54FAF"/>
    <w:rsid w:val="00C55135"/>
    <w:rsid w:val="00C552DD"/>
    <w:rsid w:val="00C60BBC"/>
    <w:rsid w:val="00C674A0"/>
    <w:rsid w:val="00C67D0A"/>
    <w:rsid w:val="00C67E71"/>
    <w:rsid w:val="00C73DB9"/>
    <w:rsid w:val="00C75C1F"/>
    <w:rsid w:val="00C84C66"/>
    <w:rsid w:val="00C9359B"/>
    <w:rsid w:val="00CA1663"/>
    <w:rsid w:val="00CA27E7"/>
    <w:rsid w:val="00CA765F"/>
    <w:rsid w:val="00CB5181"/>
    <w:rsid w:val="00CB6777"/>
    <w:rsid w:val="00CB709A"/>
    <w:rsid w:val="00CD0B5C"/>
    <w:rsid w:val="00CD0F75"/>
    <w:rsid w:val="00CD5556"/>
    <w:rsid w:val="00CE5C44"/>
    <w:rsid w:val="00CF05A3"/>
    <w:rsid w:val="00CF5E21"/>
    <w:rsid w:val="00CF716F"/>
    <w:rsid w:val="00CF73A9"/>
    <w:rsid w:val="00D042B7"/>
    <w:rsid w:val="00D077CC"/>
    <w:rsid w:val="00D11476"/>
    <w:rsid w:val="00D2229B"/>
    <w:rsid w:val="00D2385B"/>
    <w:rsid w:val="00D23C7E"/>
    <w:rsid w:val="00D242AC"/>
    <w:rsid w:val="00D24A9E"/>
    <w:rsid w:val="00D259F4"/>
    <w:rsid w:val="00D323FC"/>
    <w:rsid w:val="00D33C59"/>
    <w:rsid w:val="00D34C1C"/>
    <w:rsid w:val="00D362E4"/>
    <w:rsid w:val="00D379D5"/>
    <w:rsid w:val="00D43DFD"/>
    <w:rsid w:val="00D53825"/>
    <w:rsid w:val="00D53FFC"/>
    <w:rsid w:val="00D5478B"/>
    <w:rsid w:val="00D55B43"/>
    <w:rsid w:val="00D577E4"/>
    <w:rsid w:val="00D60EB1"/>
    <w:rsid w:val="00D61FE4"/>
    <w:rsid w:val="00D71722"/>
    <w:rsid w:val="00D71FB1"/>
    <w:rsid w:val="00D7440D"/>
    <w:rsid w:val="00D76FCB"/>
    <w:rsid w:val="00D8467E"/>
    <w:rsid w:val="00D84E72"/>
    <w:rsid w:val="00D95F7B"/>
    <w:rsid w:val="00DB132C"/>
    <w:rsid w:val="00DB274C"/>
    <w:rsid w:val="00DB2A7D"/>
    <w:rsid w:val="00DC0094"/>
    <w:rsid w:val="00DC3880"/>
    <w:rsid w:val="00DD367F"/>
    <w:rsid w:val="00DE5620"/>
    <w:rsid w:val="00DE6306"/>
    <w:rsid w:val="00DF086E"/>
    <w:rsid w:val="00DF152C"/>
    <w:rsid w:val="00DF1E98"/>
    <w:rsid w:val="00DF21BB"/>
    <w:rsid w:val="00DF5809"/>
    <w:rsid w:val="00DF7E28"/>
    <w:rsid w:val="00E0001A"/>
    <w:rsid w:val="00E1123E"/>
    <w:rsid w:val="00E1217D"/>
    <w:rsid w:val="00E1658C"/>
    <w:rsid w:val="00E16E6C"/>
    <w:rsid w:val="00E16FF3"/>
    <w:rsid w:val="00E22176"/>
    <w:rsid w:val="00E34F62"/>
    <w:rsid w:val="00E405B0"/>
    <w:rsid w:val="00E42A42"/>
    <w:rsid w:val="00E473CA"/>
    <w:rsid w:val="00E475B7"/>
    <w:rsid w:val="00E505EB"/>
    <w:rsid w:val="00E508C1"/>
    <w:rsid w:val="00E51313"/>
    <w:rsid w:val="00E52335"/>
    <w:rsid w:val="00E6115F"/>
    <w:rsid w:val="00E70530"/>
    <w:rsid w:val="00E71BEF"/>
    <w:rsid w:val="00E74173"/>
    <w:rsid w:val="00E86069"/>
    <w:rsid w:val="00E92277"/>
    <w:rsid w:val="00E92E0A"/>
    <w:rsid w:val="00E93828"/>
    <w:rsid w:val="00E9417E"/>
    <w:rsid w:val="00E95AC0"/>
    <w:rsid w:val="00E9735C"/>
    <w:rsid w:val="00EA20EB"/>
    <w:rsid w:val="00EA2809"/>
    <w:rsid w:val="00EA287F"/>
    <w:rsid w:val="00EA28CB"/>
    <w:rsid w:val="00EA2BB6"/>
    <w:rsid w:val="00EA6872"/>
    <w:rsid w:val="00EA7D3C"/>
    <w:rsid w:val="00EC05DD"/>
    <w:rsid w:val="00EC1229"/>
    <w:rsid w:val="00EC2053"/>
    <w:rsid w:val="00EC753A"/>
    <w:rsid w:val="00ED5027"/>
    <w:rsid w:val="00ED642A"/>
    <w:rsid w:val="00EE2AF0"/>
    <w:rsid w:val="00EE40C9"/>
    <w:rsid w:val="00EE4252"/>
    <w:rsid w:val="00EE68E3"/>
    <w:rsid w:val="00EF0F67"/>
    <w:rsid w:val="00EF274D"/>
    <w:rsid w:val="00EF5191"/>
    <w:rsid w:val="00EF5623"/>
    <w:rsid w:val="00EF7BE8"/>
    <w:rsid w:val="00F017B0"/>
    <w:rsid w:val="00F021E9"/>
    <w:rsid w:val="00F02506"/>
    <w:rsid w:val="00F045A5"/>
    <w:rsid w:val="00F04BF0"/>
    <w:rsid w:val="00F05C80"/>
    <w:rsid w:val="00F10D9C"/>
    <w:rsid w:val="00F117C6"/>
    <w:rsid w:val="00F13DDB"/>
    <w:rsid w:val="00F23502"/>
    <w:rsid w:val="00F2566E"/>
    <w:rsid w:val="00F31C16"/>
    <w:rsid w:val="00F35B3A"/>
    <w:rsid w:val="00F35C3D"/>
    <w:rsid w:val="00F361D4"/>
    <w:rsid w:val="00F403BD"/>
    <w:rsid w:val="00F4091E"/>
    <w:rsid w:val="00F45904"/>
    <w:rsid w:val="00F50E21"/>
    <w:rsid w:val="00F60AC7"/>
    <w:rsid w:val="00F60C5B"/>
    <w:rsid w:val="00F6579C"/>
    <w:rsid w:val="00F70ECE"/>
    <w:rsid w:val="00F72A72"/>
    <w:rsid w:val="00F73E1A"/>
    <w:rsid w:val="00F909DE"/>
    <w:rsid w:val="00F911E8"/>
    <w:rsid w:val="00F912A0"/>
    <w:rsid w:val="00F93D02"/>
    <w:rsid w:val="00F951F0"/>
    <w:rsid w:val="00FA04CC"/>
    <w:rsid w:val="00FA7984"/>
    <w:rsid w:val="00FB16B4"/>
    <w:rsid w:val="00FB2F84"/>
    <w:rsid w:val="00FB44DB"/>
    <w:rsid w:val="00FB5B36"/>
    <w:rsid w:val="00FC452F"/>
    <w:rsid w:val="00FC4F20"/>
    <w:rsid w:val="00FC7FE1"/>
    <w:rsid w:val="00FD36E0"/>
    <w:rsid w:val="00FD47A6"/>
    <w:rsid w:val="00FD6E35"/>
    <w:rsid w:val="00FE2C36"/>
    <w:rsid w:val="00FE3DE7"/>
    <w:rsid w:val="00FE516E"/>
    <w:rsid w:val="00FE5595"/>
    <w:rsid w:val="00FE5C6E"/>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F27E"/>
  <w15:chartTrackingRefBased/>
  <w15:docId w15:val="{8DEA4A4C-5995-4A65-BC5B-FD7F7A1F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36D"/>
  </w:style>
  <w:style w:type="paragraph" w:styleId="Footer">
    <w:name w:val="footer"/>
    <w:basedOn w:val="Normal"/>
    <w:link w:val="FooterChar"/>
    <w:uiPriority w:val="99"/>
    <w:unhideWhenUsed/>
    <w:rsid w:val="00986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36D"/>
  </w:style>
  <w:style w:type="paragraph" w:customStyle="1" w:styleId="MainTitle">
    <w:name w:val="Main Title"/>
    <w:basedOn w:val="Normal"/>
    <w:link w:val="MainTitleChar"/>
    <w:qFormat/>
    <w:rsid w:val="002D7201"/>
    <w:pPr>
      <w:spacing w:after="120" w:line="228" w:lineRule="auto"/>
    </w:pPr>
    <w:rPr>
      <w:b/>
      <w:color w:val="6F61B0"/>
      <w:sz w:val="48"/>
      <w:szCs w:val="48"/>
    </w:rPr>
  </w:style>
  <w:style w:type="paragraph" w:styleId="BodyText">
    <w:name w:val="Body Text"/>
    <w:basedOn w:val="BodyText2"/>
    <w:link w:val="BodyTextChar"/>
    <w:qFormat/>
    <w:rsid w:val="0024208C"/>
    <w:pPr>
      <w:spacing w:after="160" w:line="259" w:lineRule="auto"/>
      <w:jc w:val="both"/>
    </w:pPr>
    <w:rPr>
      <w:rFonts w:ascii="Calibri" w:eastAsia="Times New Roman" w:hAnsi="Calibri" w:cs="Arial"/>
      <w:color w:val="595959"/>
      <w:szCs w:val="20"/>
    </w:rPr>
  </w:style>
  <w:style w:type="character" w:customStyle="1" w:styleId="MainTitleChar">
    <w:name w:val="Main Title Char"/>
    <w:basedOn w:val="DefaultParagraphFont"/>
    <w:link w:val="MainTitle"/>
    <w:rsid w:val="002D7201"/>
    <w:rPr>
      <w:b/>
      <w:color w:val="6F61B0"/>
      <w:sz w:val="48"/>
      <w:szCs w:val="48"/>
    </w:rPr>
  </w:style>
  <w:style w:type="character" w:customStyle="1" w:styleId="BodyTextChar">
    <w:name w:val="Body Text Char"/>
    <w:basedOn w:val="DefaultParagraphFont"/>
    <w:link w:val="BodyText"/>
    <w:rsid w:val="0024208C"/>
    <w:rPr>
      <w:rFonts w:ascii="Calibri" w:eastAsia="Times New Roman" w:hAnsi="Calibri" w:cs="Arial"/>
      <w:color w:val="595959"/>
      <w:szCs w:val="20"/>
    </w:rPr>
  </w:style>
  <w:style w:type="paragraph" w:styleId="BodyText2">
    <w:name w:val="Body Text 2"/>
    <w:basedOn w:val="Normal"/>
    <w:link w:val="BodyText2Char"/>
    <w:uiPriority w:val="99"/>
    <w:semiHidden/>
    <w:unhideWhenUsed/>
    <w:rsid w:val="008A7E71"/>
    <w:pPr>
      <w:spacing w:after="120" w:line="480" w:lineRule="auto"/>
    </w:pPr>
  </w:style>
  <w:style w:type="character" w:customStyle="1" w:styleId="BodyText2Char">
    <w:name w:val="Body Text 2 Char"/>
    <w:basedOn w:val="DefaultParagraphFont"/>
    <w:link w:val="BodyText2"/>
    <w:uiPriority w:val="99"/>
    <w:semiHidden/>
    <w:rsid w:val="008A7E71"/>
  </w:style>
  <w:style w:type="paragraph" w:customStyle="1" w:styleId="SubHeader">
    <w:name w:val="Sub Header"/>
    <w:basedOn w:val="BodyText"/>
    <w:link w:val="SubHeaderChar"/>
    <w:qFormat/>
    <w:rsid w:val="00441851"/>
    <w:pPr>
      <w:spacing w:after="0" w:line="216" w:lineRule="auto"/>
      <w:jc w:val="left"/>
    </w:pPr>
    <w:rPr>
      <w:b/>
      <w:color w:val="404040" w:themeColor="text1" w:themeTint="BF"/>
      <w:sz w:val="28"/>
      <w:szCs w:val="28"/>
    </w:rPr>
  </w:style>
  <w:style w:type="paragraph" w:styleId="Title">
    <w:name w:val="Title"/>
    <w:basedOn w:val="Normal"/>
    <w:next w:val="Normal"/>
    <w:link w:val="TitleChar"/>
    <w:uiPriority w:val="10"/>
    <w:rsid w:val="0024208C"/>
    <w:pPr>
      <w:spacing w:after="60" w:line="192" w:lineRule="auto"/>
    </w:pPr>
    <w:rPr>
      <w:rFonts w:ascii="Calibri" w:eastAsia="Calibri" w:hAnsi="Calibri" w:cs="Times New Roman"/>
      <w:b/>
      <w:caps/>
      <w:color w:val="39945E"/>
      <w:sz w:val="40"/>
      <w:szCs w:val="40"/>
    </w:rPr>
  </w:style>
  <w:style w:type="character" w:customStyle="1" w:styleId="SubHeaderChar">
    <w:name w:val="Sub Header Char"/>
    <w:basedOn w:val="BodyTextChar"/>
    <w:link w:val="SubHeader"/>
    <w:rsid w:val="00441851"/>
    <w:rPr>
      <w:rFonts w:ascii="Calibri" w:eastAsia="Times New Roman" w:hAnsi="Calibri" w:cs="Arial"/>
      <w:b/>
      <w:color w:val="404040" w:themeColor="text1" w:themeTint="BF"/>
      <w:sz w:val="28"/>
      <w:szCs w:val="28"/>
    </w:rPr>
  </w:style>
  <w:style w:type="character" w:customStyle="1" w:styleId="TitleChar">
    <w:name w:val="Title Char"/>
    <w:basedOn w:val="DefaultParagraphFont"/>
    <w:link w:val="Title"/>
    <w:uiPriority w:val="10"/>
    <w:rsid w:val="0024208C"/>
    <w:rPr>
      <w:rFonts w:ascii="Calibri" w:eastAsia="Calibri" w:hAnsi="Calibri" w:cs="Times New Roman"/>
      <w:b/>
      <w:caps/>
      <w:color w:val="39945E"/>
      <w:sz w:val="40"/>
      <w:szCs w:val="40"/>
    </w:rPr>
  </w:style>
  <w:style w:type="paragraph" w:customStyle="1" w:styleId="Disclaimer">
    <w:name w:val="Disclaimer"/>
    <w:basedOn w:val="Normal"/>
    <w:link w:val="DisclaimerChar"/>
    <w:qFormat/>
    <w:rsid w:val="008F7B15"/>
    <w:rPr>
      <w:rFonts w:ascii="Verdana" w:eastAsia="Calibri" w:hAnsi="Verdana" w:cs="Times New Roman"/>
      <w:color w:val="7F7F7F"/>
      <w:sz w:val="16"/>
    </w:rPr>
  </w:style>
  <w:style w:type="character" w:customStyle="1" w:styleId="DisclaimerChar">
    <w:name w:val="Disclaimer Char"/>
    <w:link w:val="Disclaimer"/>
    <w:rsid w:val="008F7B15"/>
    <w:rPr>
      <w:rFonts w:ascii="Verdana" w:eastAsia="Calibri" w:hAnsi="Verdana" w:cs="Times New Roman"/>
      <w:color w:val="7F7F7F"/>
      <w:sz w:val="16"/>
    </w:rPr>
  </w:style>
  <w:style w:type="paragraph" w:customStyle="1" w:styleId="BulletList">
    <w:name w:val="Bullet List"/>
    <w:basedOn w:val="BodyText"/>
    <w:link w:val="BulletListChar"/>
    <w:rsid w:val="00456666"/>
    <w:pPr>
      <w:spacing w:after="60"/>
    </w:pPr>
  </w:style>
  <w:style w:type="paragraph" w:customStyle="1" w:styleId="Checkbox">
    <w:name w:val="Checkbox"/>
    <w:basedOn w:val="BulletList"/>
    <w:link w:val="CheckboxChar"/>
    <w:qFormat/>
    <w:rsid w:val="00A464AC"/>
    <w:pPr>
      <w:numPr>
        <w:numId w:val="7"/>
      </w:numPr>
      <w:tabs>
        <w:tab w:val="left" w:pos="540"/>
      </w:tabs>
      <w:spacing w:after="160"/>
      <w:contextualSpacing/>
    </w:pPr>
  </w:style>
  <w:style w:type="character" w:customStyle="1" w:styleId="BulletListChar">
    <w:name w:val="Bullet List Char"/>
    <w:basedOn w:val="BodyTextChar"/>
    <w:link w:val="BulletList"/>
    <w:rsid w:val="00456666"/>
    <w:rPr>
      <w:rFonts w:ascii="Calibri" w:eastAsia="Times New Roman" w:hAnsi="Calibri" w:cs="Arial"/>
      <w:color w:val="595959"/>
      <w:szCs w:val="20"/>
    </w:rPr>
  </w:style>
  <w:style w:type="paragraph" w:customStyle="1" w:styleId="Xbox">
    <w:name w:val="Xbox"/>
    <w:basedOn w:val="Checkbox"/>
    <w:link w:val="XboxChar"/>
    <w:qFormat/>
    <w:rsid w:val="00A464AC"/>
    <w:pPr>
      <w:numPr>
        <w:numId w:val="11"/>
      </w:numPr>
    </w:pPr>
  </w:style>
  <w:style w:type="character" w:customStyle="1" w:styleId="CheckboxChar">
    <w:name w:val="Checkbox Char"/>
    <w:basedOn w:val="BulletListChar"/>
    <w:link w:val="Checkbox"/>
    <w:rsid w:val="00A464AC"/>
    <w:rPr>
      <w:rFonts w:ascii="Calibri" w:eastAsia="Times New Roman" w:hAnsi="Calibri" w:cs="Arial"/>
      <w:color w:val="595959"/>
      <w:szCs w:val="20"/>
    </w:rPr>
  </w:style>
  <w:style w:type="paragraph" w:customStyle="1" w:styleId="CallOutBox">
    <w:name w:val="Call Out Box"/>
    <w:basedOn w:val="Footer"/>
    <w:link w:val="CallOutBoxChar"/>
    <w:qFormat/>
    <w:rsid w:val="002D7201"/>
    <w:pPr>
      <w:jc w:val="center"/>
    </w:pPr>
    <w:rPr>
      <w:b/>
      <w:i/>
      <w:color w:val="6F61B0"/>
      <w:sz w:val="36"/>
      <w:szCs w:val="36"/>
    </w:rPr>
  </w:style>
  <w:style w:type="character" w:customStyle="1" w:styleId="XboxChar">
    <w:name w:val="Xbox Char"/>
    <w:basedOn w:val="CheckboxChar"/>
    <w:link w:val="Xbox"/>
    <w:rsid w:val="00A464AC"/>
    <w:rPr>
      <w:rFonts w:ascii="Calibri" w:eastAsia="Times New Roman" w:hAnsi="Calibri" w:cs="Arial"/>
      <w:color w:val="595959"/>
      <w:szCs w:val="20"/>
    </w:rPr>
  </w:style>
  <w:style w:type="table" w:styleId="TableGrid">
    <w:name w:val="Table Grid"/>
    <w:basedOn w:val="TableNormal"/>
    <w:uiPriority w:val="39"/>
    <w:rsid w:val="00C8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lOutBoxChar">
    <w:name w:val="Call Out Box Char"/>
    <w:basedOn w:val="FooterChar"/>
    <w:link w:val="CallOutBox"/>
    <w:rsid w:val="002D7201"/>
    <w:rPr>
      <w:b/>
      <w:i/>
      <w:color w:val="6F61B0"/>
      <w:sz w:val="36"/>
      <w:szCs w:val="36"/>
    </w:rPr>
  </w:style>
  <w:style w:type="paragraph" w:customStyle="1" w:styleId="TableHeader">
    <w:name w:val="Table Header"/>
    <w:basedOn w:val="BodyText"/>
    <w:link w:val="TableHeaderChar"/>
    <w:qFormat/>
    <w:rsid w:val="00C84C66"/>
    <w:pPr>
      <w:jc w:val="center"/>
    </w:pPr>
    <w:rPr>
      <w:b/>
      <w:color w:val="FFFFFF" w:themeColor="background1"/>
      <w:sz w:val="26"/>
      <w:szCs w:val="26"/>
    </w:rPr>
  </w:style>
  <w:style w:type="character" w:customStyle="1" w:styleId="TableHeaderChar">
    <w:name w:val="Table Header Char"/>
    <w:basedOn w:val="BodyTextChar"/>
    <w:link w:val="TableHeader"/>
    <w:rsid w:val="00C84C66"/>
    <w:rPr>
      <w:rFonts w:ascii="Calibri" w:eastAsia="Times New Roman" w:hAnsi="Calibri" w:cs="Arial"/>
      <w:b/>
      <w:color w:val="FFFFFF" w:themeColor="background1"/>
      <w:sz w:val="26"/>
      <w:szCs w:val="26"/>
    </w:rPr>
  </w:style>
  <w:style w:type="character" w:styleId="Hyperlink">
    <w:name w:val="Hyperlink"/>
    <w:basedOn w:val="DefaultParagraphFont"/>
    <w:uiPriority w:val="99"/>
    <w:unhideWhenUsed/>
    <w:rsid w:val="008C01A9"/>
    <w:rPr>
      <w:color w:val="0563C1" w:themeColor="hyperlink"/>
      <w:u w:val="single"/>
    </w:rPr>
  </w:style>
  <w:style w:type="paragraph" w:customStyle="1" w:styleId="BulletlistHighlight">
    <w:name w:val="Bullet list Highlight"/>
    <w:basedOn w:val="BodyText"/>
    <w:rsid w:val="008C01A9"/>
    <w:pPr>
      <w:numPr>
        <w:numId w:val="5"/>
      </w:numPr>
      <w:spacing w:before="120" w:after="120"/>
    </w:pPr>
    <w:rPr>
      <w:color w:val="FFFFFF"/>
    </w:rPr>
  </w:style>
  <w:style w:type="paragraph" w:customStyle="1" w:styleId="LR-Heading">
    <w:name w:val="LR-Heading"/>
    <w:basedOn w:val="Normal"/>
    <w:link w:val="LR-HeadingChar"/>
    <w:qFormat/>
    <w:rsid w:val="002D7201"/>
    <w:pPr>
      <w:spacing w:before="120" w:after="120" w:line="240" w:lineRule="auto"/>
    </w:pPr>
    <w:rPr>
      <w:rFonts w:ascii="Calibri" w:eastAsia="Times New Roman" w:hAnsi="Calibri" w:cs="Times New Roman"/>
      <w:b/>
      <w:caps/>
      <w:color w:val="6F61B0"/>
      <w:sz w:val="28"/>
      <w:szCs w:val="20"/>
    </w:rPr>
  </w:style>
  <w:style w:type="character" w:customStyle="1" w:styleId="LR-HeadingChar">
    <w:name w:val="LR-Heading Char"/>
    <w:link w:val="LR-Heading"/>
    <w:rsid w:val="002D7201"/>
    <w:rPr>
      <w:rFonts w:ascii="Calibri" w:eastAsia="Times New Roman" w:hAnsi="Calibri" w:cs="Times New Roman"/>
      <w:b/>
      <w:caps/>
      <w:color w:val="6F61B0"/>
      <w:sz w:val="28"/>
      <w:szCs w:val="20"/>
    </w:rPr>
  </w:style>
  <w:style w:type="paragraph" w:customStyle="1" w:styleId="LR-BulletList">
    <w:name w:val="LR-Bullet List"/>
    <w:basedOn w:val="BulletlistHighlight"/>
    <w:link w:val="LR-BulletListChar"/>
    <w:qFormat/>
    <w:rsid w:val="008C01A9"/>
    <w:rPr>
      <w:color w:val="595959"/>
    </w:rPr>
  </w:style>
  <w:style w:type="character" w:customStyle="1" w:styleId="LR-BulletListChar">
    <w:name w:val="LR-Bullet List Char"/>
    <w:link w:val="LR-BulletList"/>
    <w:rsid w:val="008C01A9"/>
    <w:rPr>
      <w:rFonts w:ascii="Calibri" w:eastAsia="Times New Roman" w:hAnsi="Calibri" w:cs="Arial"/>
      <w:color w:val="595959"/>
      <w:szCs w:val="20"/>
    </w:rPr>
  </w:style>
  <w:style w:type="paragraph" w:customStyle="1" w:styleId="SectionedHeader">
    <w:name w:val="Sectioned Header"/>
    <w:basedOn w:val="SubHeader"/>
    <w:link w:val="SectionedHeaderChar"/>
    <w:qFormat/>
    <w:rsid w:val="002D7201"/>
    <w:rPr>
      <w:color w:val="6F61B0"/>
      <w:sz w:val="32"/>
      <w:szCs w:val="32"/>
    </w:rPr>
  </w:style>
  <w:style w:type="character" w:customStyle="1" w:styleId="SectionedHeaderChar">
    <w:name w:val="Sectioned Header Char"/>
    <w:basedOn w:val="SubHeaderChar"/>
    <w:link w:val="SectionedHeader"/>
    <w:rsid w:val="002D7201"/>
    <w:rPr>
      <w:rFonts w:ascii="Calibri" w:eastAsia="Times New Roman" w:hAnsi="Calibri" w:cs="Arial"/>
      <w:b/>
      <w:color w:val="6F61B0"/>
      <w:sz w:val="32"/>
      <w:szCs w:val="32"/>
    </w:rPr>
  </w:style>
  <w:style w:type="numbering" w:customStyle="1" w:styleId="BulletedList">
    <w:name w:val="Bulleted List"/>
    <w:uiPriority w:val="99"/>
    <w:rsid w:val="00456666"/>
    <w:pPr>
      <w:numPr>
        <w:numId w:val="6"/>
      </w:numPr>
    </w:pPr>
  </w:style>
  <w:style w:type="paragraph" w:customStyle="1" w:styleId="Bullet">
    <w:name w:val="Bullet"/>
    <w:basedOn w:val="Normal"/>
    <w:link w:val="BulletChar"/>
    <w:qFormat/>
    <w:rsid w:val="00A464AC"/>
    <w:pPr>
      <w:numPr>
        <w:numId w:val="12"/>
      </w:numPr>
      <w:contextualSpacing/>
    </w:pPr>
    <w:rPr>
      <w:color w:val="595959"/>
    </w:rPr>
  </w:style>
  <w:style w:type="character" w:customStyle="1" w:styleId="BulletChar">
    <w:name w:val="Bullet Char"/>
    <w:basedOn w:val="DefaultParagraphFont"/>
    <w:link w:val="Bullet"/>
    <w:rsid w:val="00A464AC"/>
    <w:rPr>
      <w:color w:val="595959"/>
    </w:rPr>
  </w:style>
  <w:style w:type="paragraph" w:styleId="FootnoteText">
    <w:name w:val="footnote text"/>
    <w:basedOn w:val="Normal"/>
    <w:link w:val="FootnoteTextChar"/>
    <w:uiPriority w:val="99"/>
    <w:semiHidden/>
    <w:unhideWhenUsed/>
    <w:rsid w:val="00994E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4E84"/>
    <w:rPr>
      <w:sz w:val="20"/>
      <w:szCs w:val="20"/>
    </w:rPr>
  </w:style>
  <w:style w:type="character" w:styleId="FootnoteReference">
    <w:name w:val="footnote reference"/>
    <w:basedOn w:val="DefaultParagraphFont"/>
    <w:uiPriority w:val="99"/>
    <w:semiHidden/>
    <w:unhideWhenUsed/>
    <w:rsid w:val="00994E84"/>
    <w:rPr>
      <w:vertAlign w:val="superscript"/>
    </w:rPr>
  </w:style>
  <w:style w:type="character" w:styleId="UnresolvedMention">
    <w:name w:val="Unresolved Mention"/>
    <w:basedOn w:val="DefaultParagraphFont"/>
    <w:uiPriority w:val="99"/>
    <w:semiHidden/>
    <w:unhideWhenUsed/>
    <w:rsid w:val="00623BA2"/>
    <w:rPr>
      <w:color w:val="605E5C"/>
      <w:shd w:val="clear" w:color="auto" w:fill="E1DFDD"/>
    </w:rPr>
  </w:style>
  <w:style w:type="paragraph" w:styleId="EndnoteText">
    <w:name w:val="endnote text"/>
    <w:basedOn w:val="Normal"/>
    <w:link w:val="EndnoteTextChar"/>
    <w:uiPriority w:val="99"/>
    <w:semiHidden/>
    <w:unhideWhenUsed/>
    <w:rsid w:val="00B029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29A8"/>
    <w:rPr>
      <w:sz w:val="20"/>
      <w:szCs w:val="20"/>
    </w:rPr>
  </w:style>
  <w:style w:type="character" w:styleId="EndnoteReference">
    <w:name w:val="endnote reference"/>
    <w:basedOn w:val="DefaultParagraphFont"/>
    <w:uiPriority w:val="99"/>
    <w:semiHidden/>
    <w:unhideWhenUsed/>
    <w:rsid w:val="00B029A8"/>
    <w:rPr>
      <w:vertAlign w:val="superscript"/>
    </w:rPr>
  </w:style>
  <w:style w:type="paragraph" w:styleId="Subtitle">
    <w:name w:val="Subtitle"/>
    <w:basedOn w:val="Normal"/>
    <w:next w:val="Normal"/>
    <w:link w:val="SubtitleChar"/>
    <w:uiPriority w:val="11"/>
    <w:rsid w:val="002721A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721A9"/>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36693B"/>
    <w:rPr>
      <w:sz w:val="16"/>
      <w:szCs w:val="16"/>
    </w:rPr>
  </w:style>
  <w:style w:type="paragraph" w:styleId="CommentText">
    <w:name w:val="annotation text"/>
    <w:basedOn w:val="Normal"/>
    <w:link w:val="CommentTextChar"/>
    <w:uiPriority w:val="99"/>
    <w:unhideWhenUsed/>
    <w:rsid w:val="0036693B"/>
    <w:pPr>
      <w:spacing w:line="240" w:lineRule="auto"/>
    </w:pPr>
    <w:rPr>
      <w:sz w:val="20"/>
      <w:szCs w:val="20"/>
    </w:rPr>
  </w:style>
  <w:style w:type="character" w:customStyle="1" w:styleId="CommentTextChar">
    <w:name w:val="Comment Text Char"/>
    <w:basedOn w:val="DefaultParagraphFont"/>
    <w:link w:val="CommentText"/>
    <w:uiPriority w:val="99"/>
    <w:rsid w:val="0036693B"/>
    <w:rPr>
      <w:sz w:val="20"/>
      <w:szCs w:val="20"/>
    </w:rPr>
  </w:style>
  <w:style w:type="paragraph" w:styleId="CommentSubject">
    <w:name w:val="annotation subject"/>
    <w:basedOn w:val="CommentText"/>
    <w:next w:val="CommentText"/>
    <w:link w:val="CommentSubjectChar"/>
    <w:uiPriority w:val="99"/>
    <w:semiHidden/>
    <w:unhideWhenUsed/>
    <w:rsid w:val="0036693B"/>
    <w:rPr>
      <w:b/>
      <w:bCs/>
    </w:rPr>
  </w:style>
  <w:style w:type="character" w:customStyle="1" w:styleId="CommentSubjectChar">
    <w:name w:val="Comment Subject Char"/>
    <w:basedOn w:val="CommentTextChar"/>
    <w:link w:val="CommentSubject"/>
    <w:uiPriority w:val="99"/>
    <w:semiHidden/>
    <w:rsid w:val="0036693B"/>
    <w:rPr>
      <w:b/>
      <w:bCs/>
      <w:sz w:val="20"/>
      <w:szCs w:val="20"/>
    </w:rPr>
  </w:style>
  <w:style w:type="character" w:styleId="FollowedHyperlink">
    <w:name w:val="FollowedHyperlink"/>
    <w:basedOn w:val="DefaultParagraphFont"/>
    <w:uiPriority w:val="99"/>
    <w:semiHidden/>
    <w:unhideWhenUsed/>
    <w:rsid w:val="002D0362"/>
    <w:rPr>
      <w:color w:val="954F72" w:themeColor="followedHyperlink"/>
      <w:u w:val="single"/>
    </w:rPr>
  </w:style>
  <w:style w:type="paragraph" w:styleId="Revision">
    <w:name w:val="Revision"/>
    <w:hidden/>
    <w:uiPriority w:val="99"/>
    <w:semiHidden/>
    <w:rsid w:val="00BA57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r.ca.gov/dlse/paid_sick_leave.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bor.mo.gov/dls/proposition-a-paid-sick-time-benefits-faq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r.ca.gov/dlse/paid_sick_leave.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abor.mo.gov/dls/proposition-a-paid-sick-time-benefits-faq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M:\MASTER%20TEMPLATES\Legal%20Content\2023%20Compliance%20Document%20Templates\Compliance%20Overview\Portrait\HR_Compliance%20Over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BA78C-BC30-489F-BF8A-19424ED956FD}">
  <ds:schemaRefs>
    <ds:schemaRef ds:uri="http://schemas.openxmlformats.org/officeDocument/2006/bibliography"/>
  </ds:schemaRefs>
</ds:datastoreItem>
</file>

<file path=docMetadata/LabelInfo.xml><?xml version="1.0" encoding="utf-8"?>
<clbl:labelList xmlns:clbl="http://schemas.microsoft.com/office/2020/mipLabelMetadata">
  <clbl:label id="{b6e4ed5c-88d9-405d-a9a4-5110fdfd941d}" enabled="1" method="Standard" siteId="{bd0c095f-5d66-4273-a209-64796ae91974}" removed="0"/>
</clbl:labelList>
</file>

<file path=docProps/app.xml><?xml version="1.0" encoding="utf-8"?>
<Properties xmlns="http://schemas.openxmlformats.org/officeDocument/2006/extended-properties" xmlns:vt="http://schemas.openxmlformats.org/officeDocument/2006/docPropsVTypes">
  <Template>HR_Compliance Overview</Template>
  <TotalTime>1</TotalTime>
  <Pages>6</Pages>
  <Words>2836</Words>
  <Characters>15232</Characters>
  <Application>Microsoft Office Word</Application>
  <DocSecurity>0</DocSecurity>
  <Lines>195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Polack, Kim</dc:creator>
  <cp:lastModifiedBy>Ross Carmichael</cp:lastModifiedBy>
  <cp:revision>2</cp:revision>
  <dcterms:created xsi:type="dcterms:W3CDTF">2025-10-08T15:28:00Z</dcterms:created>
  <dcterms:modified xsi:type="dcterms:W3CDTF">2025-10-08T15:28:00Z</dcterms:modified>
</cp:coreProperties>
</file>